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emf" ContentType="image/x-em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Semesteraufbau - Digitalität</w:t>
      </w:r>
    </w:p>
    <w:p>
      <w:pPr>
        <w:pStyle w:val="Subtitle"/>
      </w:pPr>
      <w:r>
        <w:t xml:space="preserve">Pädagogik, Psychologie, Digitalität 1</w:t>
      </w:r>
    </w:p>
    <w:p>
      <w:pPr>
        <w:pStyle w:val="Author"/>
      </w:pPr>
      <w:r>
        <w:t xml:space="preserve">Team Digitalität</w:t>
      </w:r>
    </w:p>
    <w:bookmarkStart w:id="17" w:name="präsenzregelung"/>
    <w:p>
      <w:pPr>
        <w:pStyle w:val="Heading1"/>
      </w:pPr>
      <w:r>
        <w:t xml:space="preserve">Präsenzregelung</w:t>
      </w:r>
    </w:p>
    <w:p>
      <w:pPr>
        <w:pStyle w:val="FirstParagraph"/>
      </w:pPr>
      <w:r>
        <w:t xml:space="preserve">Digitalität besteht inhaltlich aus drei zusammenhängenden Teilen. Die Präsenzregelung hängt von der Durchführungsart ab.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S-Durchführungen:</w:t>
      </w:r>
      <w:r>
        <w:t xml:space="preserve"> </w:t>
      </w:r>
      <w:r>
        <w:t xml:space="preserve">Alle Themen werden in Präsenz behandelt.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F-Durchführungen:</w:t>
      </w:r>
      <w:r>
        <w:t xml:space="preserve"> </w:t>
      </w:r>
      <w:r>
        <w:t xml:space="preserve">Zwei Themen werden in Präsenz behandelt. Ein Thema wird ausschliesslich über den Präsenzalternativauftrag behandelt.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B-Durchführung:</w:t>
      </w:r>
      <w:r>
        <w:t xml:space="preserve"> </w:t>
      </w:r>
      <w:r>
        <w:t xml:space="preserve">Alle Themen werden am gleichen Blocktag in Präsenz behandelt.</w:t>
      </w:r>
    </w:p>
    <w:p>
      <w:pPr>
        <w:pStyle w:val="FirstParagraph"/>
      </w:pPr>
      <w:r>
        <w:t xml:space="preserve">Falls Sie fehlen müssen, melden Sie sich bitte per Mail ab und erledigen den Alternativauftrag bis eine Woche nach Präsenzsitzung. Grundsätzlich wird in Digitalität das Fehlen bei einem Themenblock geduldet.</w:t>
      </w:r>
    </w:p>
    <w:p>
      <w:pPr>
        <w:pStyle w:val="BodyText"/>
      </w:pPr>
      <w:r>
        <w:t xml:space="preserve">Genau Daten zu den Themen entnehmen sie dem Semesterprogramm.</w:t>
      </w:r>
    </w:p>
    <w:bookmarkEnd w:id="17"/>
    <w:bookmarkStart w:id="26" w:name="semesteraufbau"/>
    <w:p>
      <w:pPr>
        <w:pStyle w:val="Heading1"/>
      </w:pPr>
      <w:r>
        <w:t xml:space="preserve">Semesteraufbau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Thema</w:t>
            </w:r>
          </w:p>
        </w:tc>
        <w:tc>
          <w:tcPr/>
          <w:p>
            <w:pPr>
              <w:pStyle w:val="Compact"/>
            </w:pPr>
            <w:r>
              <w:t xml:space="preserve">Vorbereitung</w:t>
            </w:r>
          </w:p>
        </w:tc>
        <w:tc>
          <w:tcPr/>
          <w:p>
            <w:pPr>
              <w:pStyle w:val="Compact"/>
            </w:pPr>
            <w:r>
              <w:t xml:space="preserve">Präsenz</w:t>
            </w:r>
          </w:p>
        </w:tc>
        <w:tc>
          <w:tcPr/>
          <w:p>
            <w:pPr>
              <w:pStyle w:val="Compact"/>
            </w:pPr>
            <w:r>
              <w:t xml:space="preserve">Alternativauftrag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Digitale Medien: Wirkung, Gestaltung und Einsatz</w:t>
            </w:r>
          </w:p>
        </w:tc>
        <w:tc>
          <w:tcPr/>
          <w:p>
            <w:pPr>
              <w:pStyle w:val="Compact"/>
            </w:pPr>
            <w:hyperlink r:id="rId18">
              <w:r>
                <w:rPr>
                  <w:rStyle w:val="Hyperlink"/>
                </w:rPr>
                <w:t xml:space="preserve">Vorbereitungsauftrag</w:t>
              </w:r>
            </w:hyperlink>
          </w:p>
        </w:tc>
        <w:tc>
          <w:tcPr/>
          <w:p>
            <w:pPr>
              <w:pStyle w:val="Compact"/>
            </w:pPr>
            <w:hyperlink r:id="rId19">
              <w:r>
                <w:rPr>
                  <w:rStyle w:val="Hyperlink"/>
                </w:rPr>
                <w:t xml:space="preserve">Slides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PDF</w:t>
              </w:r>
            </w:hyperlink>
          </w:p>
        </w:tc>
        <w:tc>
          <w:tcPr/>
          <w:p>
            <w:pPr>
              <w:pStyle w:val="Compact"/>
            </w:pPr>
            <w:hyperlink r:id="rId21">
              <w:r>
                <w:rPr>
                  <w:rStyle w:val="Hyperlink"/>
                </w:rPr>
                <w:t xml:space="preserve">Alternativauftrag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KI-Kompetenz für Lehrpersonen</w:t>
            </w:r>
          </w:p>
        </w:tc>
        <w:tc>
          <w:tcPr/>
          <w:p>
            <w:pPr>
              <w:pStyle w:val="Compact"/>
            </w:pPr>
            <w:r>
              <w:t xml:space="preserve">siehe Ilias</w:t>
            </w:r>
          </w:p>
        </w:tc>
        <w:tc>
          <w:tcPr/>
          <w:p>
            <w:pPr>
              <w:pStyle w:val="Compact"/>
            </w:pPr>
            <w:r>
              <w:t xml:space="preserve">siehe Ilias</w:t>
            </w:r>
          </w:p>
        </w:tc>
        <w:tc>
          <w:tcPr/>
          <w:p>
            <w:pPr>
              <w:pStyle w:val="Compact"/>
            </w:pPr>
            <w:r>
              <w:t xml:space="preserve">siehe Ilias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Lernen begleiten</w:t>
            </w:r>
          </w:p>
        </w:tc>
        <w:tc>
          <w:tcPr/>
          <w:p>
            <w:pPr>
              <w:pStyle w:val="Compact"/>
            </w:pPr>
            <w:hyperlink r:id="rId22">
              <w:r>
                <w:rPr>
                  <w:rStyle w:val="Hyperlink"/>
                </w:rPr>
                <w:t xml:space="preserve">Vorbereitungsauftrag</w:t>
              </w:r>
            </w:hyperlink>
          </w:p>
        </w:tc>
        <w:tc>
          <w:tcPr/>
          <w:p>
            <w:pPr>
              <w:pStyle w:val="Compact"/>
            </w:pPr>
            <w:hyperlink r:id="rId23">
              <w:r>
                <w:rPr>
                  <w:rStyle w:val="Hyperlink"/>
                </w:rPr>
                <w:t xml:space="preserve">Slides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24">
              <w:r>
                <w:rPr>
                  <w:rStyle w:val="Hyperlink"/>
                </w:rPr>
                <w:t xml:space="preserve">PDF</w:t>
              </w:r>
            </w:hyperlink>
          </w:p>
        </w:tc>
        <w:tc>
          <w:tcPr/>
          <w:p>
            <w:pPr>
              <w:pStyle w:val="Compact"/>
            </w:pPr>
            <w:hyperlink r:id="rId25">
              <w:r>
                <w:rPr>
                  <w:rStyle w:val="Hyperlink"/>
                </w:rPr>
                <w:t xml:space="preserve">Alternativauftrag</w:t>
              </w:r>
            </w:hyperlink>
          </w:p>
        </w:tc>
      </w:tr>
    </w:tbl>
    <w:bookmarkEnd w:id="26"/>
    <w:bookmarkStart w:id="28" w:name="walk-in"/>
    <w:p>
      <w:pPr>
        <w:pStyle w:val="Heading1"/>
      </w:pPr>
      <w:r>
        <w:t xml:space="preserve">Walk-In</w:t>
      </w:r>
    </w:p>
    <w:p>
      <w:pPr>
        <w:pStyle w:val="FirstParagraph"/>
      </w:pPr>
      <w:r>
        <w:t xml:space="preserve">Die Vorkenntnisse der Studierenden sind erwartungsgemäss sehr unterschiedlich. Wir bieten Ihnen zu diversen Zeitpunkten individuellen mediendidaktischen Support an, sowohl im Kontext der Lerngelegenheit, wie auch später in Praktikas.</w:t>
      </w:r>
    </w:p>
    <w:p>
      <w:pPr>
        <w:pStyle w:val="BodyText"/>
      </w:pPr>
      <w:r>
        <w:t xml:space="preserve">Schreiben Sie sich zum Walk-In über MS-Bookings ein:</w:t>
      </w:r>
      <w:r>
        <w:t xml:space="preserve"> </w:t>
      </w:r>
      <w:hyperlink r:id="rId27">
        <w:r>
          <w:rPr>
            <w:rStyle w:val="Hyperlink"/>
          </w:rPr>
          <w:t xml:space="preserve">Richard Conrardy</w:t>
        </w:r>
      </w:hyperlink>
    </w:p>
    <w:bookmarkEnd w:id="28"/>
    <w:bookmarkStart w:id="34" w:name="leistungsnachweis"/>
    <w:p>
      <w:pPr>
        <w:pStyle w:val="Heading1"/>
      </w:pPr>
      <w:r>
        <w:t xml:space="preserve">Leistungsnachweis</w:t>
      </w:r>
    </w:p>
    <w:bookmarkStart w:id="33" w:name="allgemeines"/>
    <w:p>
      <w:pPr>
        <w:pStyle w:val="Heading2"/>
      </w:pPr>
      <w:r>
        <w:t xml:space="preserve">Allgemeines</w:t>
      </w:r>
    </w:p>
    <w:p>
      <w:pPr>
        <w:pStyle w:val="FirstParagraph"/>
      </w:pPr>
      <w:r>
        <w:t xml:space="preserve">Der Leistungsnachweisteil Digitalität (PPD1 LNW-D) ist eine Partnerarbeit mit Fachgespräch.</w:t>
      </w:r>
    </w:p>
    <w:p>
      <w:pPr>
        <w:pStyle w:val="BodyText"/>
      </w:pPr>
      <w:r>
        <w:t xml:space="preserve">Sie behandeln gemeinsam für beide der folgenden Modelle je eine Teilaufgabe:</w:t>
      </w:r>
    </w:p>
    <w:p>
      <w:pPr>
        <w:pStyle w:val="Compact"/>
        <w:numPr>
          <w:ilvl w:val="0"/>
          <w:numId w:val="1002"/>
        </w:numPr>
      </w:pPr>
      <w:r>
        <w:t xml:space="preserve">das SAMR-Stufenmodell</w:t>
      </w:r>
      <w:r>
        <w:t xml:space="preserve"> </w:t>
      </w:r>
      <w:r>
        <w:t xml:space="preserve">(Puentedura 2009)</w:t>
      </w:r>
      <w:r>
        <w:t xml:space="preserve"> </w:t>
      </w:r>
      <w:r>
        <w:t xml:space="preserve">und</w:t>
      </w:r>
      <w:r>
        <w:br/>
      </w:r>
    </w:p>
    <w:p>
      <w:pPr>
        <w:pStyle w:val="Compact"/>
        <w:numPr>
          <w:ilvl w:val="0"/>
          <w:numId w:val="1002"/>
        </w:numPr>
      </w:pPr>
      <w:r>
        <w:t xml:space="preserve">das ICAP-Stufenmodell</w:t>
      </w:r>
      <w:r>
        <w:t xml:space="preserve"> </w:t>
      </w:r>
      <w:r>
        <w:t xml:space="preserve">(Chi und Wylie 2014)</w:t>
      </w:r>
      <w:r>
        <w:t xml:space="preserve">.</w:t>
      </w:r>
    </w:p>
    <w:bookmarkStart w:id="29" w:name="produkt"/>
    <w:p>
      <w:pPr>
        <w:pStyle w:val="Heading3"/>
      </w:pPr>
      <w:r>
        <w:t xml:space="preserve">Produkt</w:t>
      </w:r>
    </w:p>
    <w:p>
      <w:pPr>
        <w:pStyle w:val="FirstParagraph"/>
      </w:pPr>
      <w:r>
        <w:t xml:space="preserve">Erstellen Sie insgesamt zwei Lektionsplanungen zu zwei frei gewählten Fächern. Eine Lektion soll digitale Tools in einer Art einsetzen, welche als</w:t>
      </w:r>
      <w:r>
        <w:t xml:space="preserve"> </w:t>
      </w:r>
      <w:r>
        <w:rPr>
          <w:i/>
          <w:iCs/>
        </w:rPr>
        <w:t xml:space="preserve">Redefinition</w:t>
      </w:r>
      <w:r>
        <w:t xml:space="preserve"> </w:t>
      </w:r>
      <w:r>
        <w:t xml:space="preserve">oder</w:t>
      </w:r>
      <w:r>
        <w:t xml:space="preserve"> </w:t>
      </w:r>
      <w:r>
        <w:rPr>
          <w:i/>
          <w:iCs/>
        </w:rPr>
        <w:t xml:space="preserve">Modification</w:t>
      </w:r>
      <w:r>
        <w:t xml:space="preserve"> </w:t>
      </w:r>
      <w:r>
        <w:t xml:space="preserve">Puentedura (2009)</w:t>
      </w:r>
      <w:r>
        <w:t xml:space="preserve"> </w:t>
      </w:r>
      <w:r>
        <w:t xml:space="preserve">angesehen wird. Die zweite Lektion sollte digitale Tools</w:t>
      </w:r>
      <w:r>
        <w:t xml:space="preserve"> </w:t>
      </w:r>
      <w:r>
        <w:rPr>
          <w:i/>
          <w:iCs/>
        </w:rPr>
        <w:t xml:space="preserve">konstruktiv</w:t>
      </w:r>
      <w:r>
        <w:t xml:space="preserve"> </w:t>
      </w:r>
      <w:r>
        <w:t xml:space="preserve">oder</w:t>
      </w:r>
      <w:r>
        <w:t xml:space="preserve"> </w:t>
      </w:r>
      <w:r>
        <w:rPr>
          <w:i/>
          <w:iCs/>
        </w:rPr>
        <w:t xml:space="preserve">interaktiv</w:t>
      </w:r>
      <w:r>
        <w:t xml:space="preserve"> </w:t>
      </w:r>
      <w:r>
        <w:t xml:space="preserve">Chi und Wylie (2014)</w:t>
      </w:r>
      <w:r>
        <w:t xml:space="preserve"> </w:t>
      </w:r>
      <w:r>
        <w:t xml:space="preserve">einsetzen. Begründen Sie die Zuordnung schriftlich.</w:t>
      </w:r>
    </w:p>
    <w:bookmarkEnd w:id="29"/>
    <w:bookmarkStart w:id="30" w:name="fachgespräch"/>
    <w:p>
      <w:pPr>
        <w:pStyle w:val="Heading3"/>
      </w:pPr>
      <w:r>
        <w:t xml:space="preserve">Fachgespräch</w:t>
      </w:r>
    </w:p>
    <w:p>
      <w:pPr>
        <w:pStyle w:val="FirstParagraph"/>
      </w:pPr>
      <w:r>
        <w:t xml:space="preserve">Schreiben Sie sich über die</w:t>
      </w:r>
      <w:r>
        <w:t xml:space="preserve"> </w:t>
      </w:r>
      <w:hyperlink r:id="rId27">
        <w:r>
          <w:rPr>
            <w:rStyle w:val="Hyperlink"/>
          </w:rPr>
          <w:t xml:space="preserve">Sprechstunden</w:t>
        </w:r>
      </w:hyperlink>
      <w:r>
        <w:t xml:space="preserve"> </w:t>
      </w:r>
      <w:r>
        <w:t xml:space="preserve">beim Dozenten ein. Die Person der Gruppe, welche den Zeitslot reserviert, lädt zwei Arbeitstage vor dem Termin das Produkt auf ILIAS hoch.</w:t>
      </w:r>
    </w:p>
    <w:p>
      <w:pPr>
        <w:pStyle w:val="BodyText"/>
      </w:pPr>
      <w:r>
        <w:t xml:space="preserve">Das Fachgespräch dauert maximal 30 Minuten und startet mit der Information, welche der beiden Lektionen Sie präsentieren sollen.</w:t>
      </w:r>
    </w:p>
    <w:p>
      <w:pPr>
        <w:pStyle w:val="BodyText"/>
      </w:pPr>
      <w:r>
        <w:t xml:space="preserve">Präsentieren Sie in 10 Minuten die Grobplanung sowie die digitalen Tools und deren Zuordnung zur Stufe im Modell. Sie sind frei in der Gestaltung der Präsentation.</w:t>
      </w:r>
    </w:p>
    <w:p>
      <w:pPr>
        <w:pStyle w:val="BodyText"/>
      </w:pPr>
      <w:r>
        <w:t xml:space="preserve">Es folgt eine Diskussion mit Rückfragen, welche sich auf beide Lektionen beziehen und auch an eine einzelne Person gerichtet sein können.</w:t>
      </w:r>
    </w:p>
    <w:p>
      <w:pPr>
        <w:pStyle w:val="BodyText"/>
      </w:pPr>
      <w:r>
        <w:t xml:space="preserve">Beispiele von Themen, welche in der Diskussion aufgegriffen werden können:</w:t>
      </w:r>
    </w:p>
    <w:p>
      <w:pPr>
        <w:pStyle w:val="Compact"/>
        <w:numPr>
          <w:ilvl w:val="0"/>
          <w:numId w:val="1003"/>
        </w:numPr>
      </w:pPr>
      <w:r>
        <w:t xml:space="preserve">Sicht der Schülerinnen und Schüler: Wie würden diese die erlebte Lektion beschreiben?</w:t>
      </w:r>
    </w:p>
    <w:p>
      <w:pPr>
        <w:pStyle w:val="Compact"/>
        <w:numPr>
          <w:ilvl w:val="0"/>
          <w:numId w:val="1003"/>
        </w:numPr>
      </w:pPr>
      <w:r>
        <w:t xml:space="preserve">Tipps für Lehrpersonen: Welche Fallstricke gibt es?</w:t>
      </w:r>
    </w:p>
    <w:bookmarkEnd w:id="30"/>
    <w:bookmarkStart w:id="31" w:name="termine"/>
    <w:p>
      <w:pPr>
        <w:pStyle w:val="Heading3"/>
      </w:pPr>
      <w:r>
        <w:t xml:space="preserve">Termine</w:t>
      </w:r>
    </w:p>
    <w:p>
      <w:pPr>
        <w:pStyle w:val="FirstParagraph"/>
      </w:pPr>
      <w:r>
        <w:t xml:space="preserve">Das Fachgespräch soll bis eine Woche nach der letzten Präsenzsitzung in PPD (inklusive Pädagogik / Psychologie) stattgefunden haben.</w:t>
      </w:r>
    </w:p>
    <w:bookmarkEnd w:id="31"/>
    <w:bookmarkStart w:id="32" w:name="bewertung"/>
    <w:p>
      <w:pPr>
        <w:pStyle w:val="Heading3"/>
      </w:pPr>
      <w:r>
        <w:t xml:space="preserve">Bewertung</w:t>
      </w:r>
    </w:p>
    <w:p>
      <w:pPr>
        <w:pStyle w:val="FirstParagraph"/>
      </w:pPr>
      <w:r>
        <w:t xml:space="preserve">Die Bewertung des LNW-D erfolgt mit maximal 10 Punkten. Bewertet werden das eingereichte Produkt, die Präsentation im Fachgespräch, die Diskussion sowie formale Aspekte.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5148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Kriterium</w:t>
            </w:r>
          </w:p>
        </w:tc>
        <w:tc>
          <w:tcPr/>
          <w:p>
            <w:pPr>
              <w:pStyle w:val="Compact"/>
            </w:pPr>
            <w:r>
              <w:t xml:space="preserve">Beschreibung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Punkte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Produkt: Lektionsplanungen und Begründung</w:t>
            </w:r>
          </w:p>
        </w:tc>
        <w:tc>
          <w:tcPr/>
          <w:p>
            <w:pPr>
              <w:pStyle w:val="Compact"/>
            </w:pPr>
            <w:r>
              <w:t xml:space="preserve">Die zwei Lektionsplanungen sind realistisch durchführbar und didaktisch sinnvoll. Digitale Medien bzw. digitale Tools sind sinnvoll integriert. Die Zuordnung zu SAMR bzw. ICAP wird konkret und nachvollziehbar begründet.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… /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Präsentation</w:t>
            </w:r>
          </w:p>
        </w:tc>
        <w:tc>
          <w:tcPr/>
          <w:p>
            <w:pPr>
              <w:pStyle w:val="Compact"/>
            </w:pPr>
            <w:r>
              <w:t xml:space="preserve">Die ausgewählte Lektion wird strukturiert präsentiert. Die Grobplanung, der Einsatz der digitalen Tools sowie die Zuordnung zur jeweiligen Modellstufe werden nachvollziehbar dargestellt.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… /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Fachgespräch und Diskussion</w:t>
            </w:r>
          </w:p>
        </w:tc>
        <w:tc>
          <w:tcPr/>
          <w:p>
            <w:pPr>
              <w:pStyle w:val="Compact"/>
            </w:pPr>
            <w:r>
              <w:t xml:space="preserve">Alle Gruppenmitglieder können Rückfragen zu beiden Lektionsplanungen fachlich korrekt beantworten und Entscheidungen nachvollziehbar begründen.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… /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Formales</w:t>
            </w:r>
          </w:p>
        </w:tc>
        <w:tc>
          <w:tcPr/>
          <w:p>
            <w:pPr>
              <w:pStyle w:val="Compact"/>
            </w:pPr>
            <w:r>
              <w:t xml:space="preserve">Sprache, Darstellung und Umfang sind korrekt und verständlich.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… / 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… / 10</w:t>
            </w:r>
          </w:p>
        </w:tc>
      </w:tr>
    </w:tbl>
    <w:bookmarkEnd w:id="32"/>
    <w:bookmarkEnd w:id="33"/>
    <w:bookmarkEnd w:id="34"/>
    <w:bookmarkStart w:id="57" w:name="bibliography"/>
    <w:p>
      <w:pPr>
        <w:pStyle w:val="Heading1"/>
      </w:pPr>
      <w:r>
        <w:t xml:space="preserve">Vertiefungslektüre (Empfehlung)</w:t>
      </w:r>
    </w:p>
    <w:bookmarkStart w:id="56" w:name="refs"/>
    <w:bookmarkStart w:id="36" w:name="ref-antonietti2023"/>
    <w:p>
      <w:pPr>
        <w:pStyle w:val="Bibliography"/>
      </w:pPr>
      <w:r>
        <w:t xml:space="preserve">Antonietti, Chiara, Maria-Luisa Schmitz, Tessa Consoli, Alberto Cattaneo, Philipp Gonon, und Dominik Petko. 2023.</w:t>
      </w:r>
      <w:r>
        <w:t xml:space="preserve"> </w:t>
      </w:r>
      <w:r>
        <w:t xml:space="preserve">«</w:t>
      </w:r>
      <w:r>
        <w:t xml:space="preserve">‹</w:t>
      </w:r>
      <w:r>
        <w:t xml:space="preserve">Development</w:t>
      </w:r>
      <w:r>
        <w:t xml:space="preserve"> </w:t>
      </w:r>
      <w:r>
        <w:t xml:space="preserve">and Validation of the</w:t>
      </w:r>
      <w:r>
        <w:t xml:space="preserve"> </w:t>
      </w:r>
      <w:r>
        <w:t xml:space="preserve">ICAP Technology Scale</w:t>
      </w:r>
      <w:r>
        <w:t xml:space="preserve"> </w:t>
      </w:r>
      <w:r>
        <w:t xml:space="preserve">to Measure How Teachers Integrate Technology into Learning Activities›</w:t>
      </w:r>
      <w:r>
        <w:t xml:space="preserve">»</w:t>
      </w:r>
      <w:r>
        <w:t xml:space="preserve">.</w:t>
      </w:r>
      <w:r>
        <w:t xml:space="preserve"> </w:t>
      </w:r>
      <w:r>
        <w:rPr>
          <w:i/>
          <w:iCs/>
        </w:rPr>
        <w:t xml:space="preserve">Computers &amp; Education</w:t>
      </w:r>
      <w:r>
        <w:t xml:space="preserve"> </w:t>
      </w:r>
      <w:r>
        <w:t xml:space="preserve">192 (Januar): 104648.</w:t>
      </w:r>
      <w:r>
        <w:t xml:space="preserve"> </w:t>
      </w:r>
      <w:hyperlink r:id="rId35">
        <w:r>
          <w:rPr>
            <w:rStyle w:val="Hyperlink"/>
          </w:rPr>
          <w:t xml:space="preserve">https://doi.org/10.1016/j.compedu.2022.104648</w:t>
        </w:r>
      </w:hyperlink>
      <w:r>
        <w:t xml:space="preserve">.</w:t>
      </w:r>
    </w:p>
    <w:bookmarkEnd w:id="36"/>
    <w:bookmarkStart w:id="38" w:name="ref-atkinson2004"/>
    <w:p>
      <w:pPr>
        <w:pStyle w:val="Bibliography"/>
      </w:pPr>
      <w:r>
        <w:t xml:space="preserve">Atkinson, Robert K., und Richard Mayer. 2004.</w:t>
      </w:r>
      <w:r>
        <w:t xml:space="preserve"> </w:t>
      </w:r>
      <w:r>
        <w:rPr>
          <w:i/>
          <w:iCs/>
        </w:rPr>
        <w:t xml:space="preserve">Five Ways to Reduce</w:t>
      </w:r>
      <w:r>
        <w:rPr>
          <w:i/>
          <w:iCs/>
        </w:rPr>
        <w:t xml:space="preserve"> </w:t>
      </w:r>
      <w:r>
        <w:rPr>
          <w:i/>
          <w:iCs/>
        </w:rPr>
        <w:t xml:space="preserve">PowerPoint</w:t>
      </w:r>
      <w:r>
        <w:rPr>
          <w:i/>
          <w:iCs/>
        </w:rPr>
        <w:t xml:space="preserve"> </w:t>
      </w:r>
      <w:r>
        <w:rPr>
          <w:i/>
          <w:iCs/>
        </w:rPr>
        <w:t xml:space="preserve">Overload</w:t>
      </w:r>
      <w:r>
        <w:t xml:space="preserve">.</w:t>
      </w:r>
      <w:r>
        <w:t xml:space="preserve"> </w:t>
      </w:r>
      <w:hyperlink r:id="rId37">
        <w:r>
          <w:rPr>
            <w:rStyle w:val="Hyperlink"/>
          </w:rPr>
          <w:t xml:space="preserve">https://www.bhertz.nl/wp-content/uploads/2011/07/atkinson_mayer_powerpoint_4_23_04.pdf</w:t>
        </w:r>
      </w:hyperlink>
      <w:r>
        <w:t xml:space="preserve">.</w:t>
      </w:r>
    </w:p>
    <w:bookmarkEnd w:id="38"/>
    <w:bookmarkStart w:id="40" w:name="ref-chi2014b"/>
    <w:p>
      <w:pPr>
        <w:pStyle w:val="Bibliography"/>
      </w:pPr>
      <w:r>
        <w:t xml:space="preserve">Chi, Michelene T. H., und Ruth Wylie. 2014.</w:t>
      </w:r>
      <w:r>
        <w:t xml:space="preserve"> </w:t>
      </w:r>
      <w:r>
        <w:t xml:space="preserve">«The</w:t>
      </w:r>
      <w:r>
        <w:t xml:space="preserve"> </w:t>
      </w:r>
      <w:r>
        <w:t xml:space="preserve">ICAP Framework</w:t>
      </w:r>
      <w:r>
        <w:t xml:space="preserve">:</w:t>
      </w:r>
      <w:r>
        <w:t xml:space="preserve"> </w:t>
      </w:r>
      <w:r>
        <w:t xml:space="preserve">Linking Cognitive Engagement</w:t>
      </w:r>
      <w:r>
        <w:t xml:space="preserve"> </w:t>
      </w:r>
      <w:r>
        <w:t xml:space="preserve">to</w:t>
      </w:r>
      <w:r>
        <w:t xml:space="preserve"> </w:t>
      </w:r>
      <w:r>
        <w:t xml:space="preserve">Active Learning Outcomes</w:t>
      </w:r>
      <w:r>
        <w:t xml:space="preserve">»</w:t>
      </w:r>
      <w:r>
        <w:t xml:space="preserve">.</w:t>
      </w:r>
      <w:r>
        <w:t xml:space="preserve"> </w:t>
      </w:r>
      <w:r>
        <w:rPr>
          <w:i/>
          <w:iCs/>
        </w:rPr>
        <w:t xml:space="preserve">Educational Psychologist</w:t>
      </w:r>
      <w:r>
        <w:t xml:space="preserve"> </w:t>
      </w:r>
      <w:r>
        <w:t xml:space="preserve">49 (4): 219–43.</w:t>
      </w:r>
      <w:r>
        <w:t xml:space="preserve"> </w:t>
      </w:r>
      <w:hyperlink r:id="rId39">
        <w:r>
          <w:rPr>
            <w:rStyle w:val="Hyperlink"/>
          </w:rPr>
          <w:t xml:space="preserve">https://doi.org/10.1080/00461520.2014.965823</w:t>
        </w:r>
      </w:hyperlink>
      <w:r>
        <w:t xml:space="preserve">.</w:t>
      </w:r>
    </w:p>
    <w:bookmarkEnd w:id="40"/>
    <w:bookmarkStart w:id="42" w:name="ref-dalalah2023"/>
    <w:p>
      <w:pPr>
        <w:pStyle w:val="Bibliography"/>
      </w:pPr>
      <w:r>
        <w:t xml:space="preserve">Dalalah, Doraid, und Osama M. A. Dalalah. 2023.</w:t>
      </w:r>
      <w:r>
        <w:t xml:space="preserve"> </w:t>
      </w:r>
      <w:r>
        <w:t xml:space="preserve">«The False Positives and False Negatives of Generative</w:t>
      </w:r>
      <w:r>
        <w:t xml:space="preserve"> </w:t>
      </w:r>
      <w:r>
        <w:t xml:space="preserve">AI</w:t>
      </w:r>
      <w:r>
        <w:t xml:space="preserve"> </w:t>
      </w:r>
      <w:r>
        <w:t xml:space="preserve">Detection Tools in Education and Academic Research:</w:t>
      </w:r>
      <w:r>
        <w:t xml:space="preserve"> </w:t>
      </w:r>
      <w:r>
        <w:t xml:space="preserve">The</w:t>
      </w:r>
      <w:r>
        <w:t xml:space="preserve"> </w:t>
      </w:r>
      <w:r>
        <w:t xml:space="preserve">Case of</w:t>
      </w:r>
      <w:r>
        <w:t xml:space="preserve"> </w:t>
      </w:r>
      <w:r>
        <w:t xml:space="preserve">ChatGPT</w:t>
      </w:r>
      <w:r>
        <w:t xml:space="preserve">»</w:t>
      </w:r>
      <w:r>
        <w:t xml:space="preserve">.</w:t>
      </w:r>
      <w:r>
        <w:t xml:space="preserve"> </w:t>
      </w:r>
      <w:r>
        <w:rPr>
          <w:i/>
          <w:iCs/>
        </w:rPr>
        <w:t xml:space="preserve">The International Journal of Management Education</w:t>
      </w:r>
      <w:r>
        <w:t xml:space="preserve"> </w:t>
      </w:r>
      <w:r>
        <w:t xml:space="preserve">21 (2): 100822.</w:t>
      </w:r>
      <w:r>
        <w:t xml:space="preserve"> </w:t>
      </w:r>
      <w:hyperlink r:id="rId41">
        <w:r>
          <w:rPr>
            <w:rStyle w:val="Hyperlink"/>
          </w:rPr>
          <w:t xml:space="preserve">https://doi.org/10.1016/j.ijme.2023.100822</w:t>
        </w:r>
      </w:hyperlink>
      <w:r>
        <w:t xml:space="preserve">.</w:t>
      </w:r>
    </w:p>
    <w:bookmarkEnd w:id="42"/>
    <w:bookmarkStart w:id="44" w:name="ref-dewi2024"/>
    <w:p>
      <w:pPr>
        <w:pStyle w:val="Bibliography"/>
      </w:pPr>
      <w:r>
        <w:t xml:space="preserve">Dewi, Cantika Sari, Dwiyani Pratiwi, und Yuyun Yulia. 2024.</w:t>
      </w:r>
      <w:r>
        <w:t xml:space="preserve"> </w:t>
      </w:r>
      <w:r>
        <w:t xml:space="preserve">«Engaging</w:t>
      </w:r>
      <w:r>
        <w:t xml:space="preserve"> </w:t>
      </w:r>
      <w:r>
        <w:t xml:space="preserve">Students Through PowerPoint</w:t>
      </w:r>
      <w:r>
        <w:t xml:space="preserve">:</w:t>
      </w:r>
      <w:r>
        <w:t xml:space="preserve"> </w:t>
      </w:r>
      <w:r>
        <w:t xml:space="preserve">The Power</w:t>
      </w:r>
      <w:r>
        <w:t xml:space="preserve"> </w:t>
      </w:r>
      <w:r>
        <w:t xml:space="preserve">of</w:t>
      </w:r>
      <w:r>
        <w:t xml:space="preserve"> </w:t>
      </w:r>
      <w:r>
        <w:t xml:space="preserve">Multimodal Learning</w:t>
      </w:r>
      <w:r>
        <w:t xml:space="preserve">»</w:t>
      </w:r>
      <w:r>
        <w:t xml:space="preserve">.</w:t>
      </w:r>
      <w:r>
        <w:t xml:space="preserve"> </w:t>
      </w:r>
      <w:r>
        <w:rPr>
          <w:i/>
          <w:iCs/>
        </w:rPr>
        <w:t xml:space="preserve">Voices of English Language Education Society</w:t>
      </w:r>
      <w:r>
        <w:t xml:space="preserve"> </w:t>
      </w:r>
      <w:r>
        <w:t xml:space="preserve">8 (2).</w:t>
      </w:r>
      <w:r>
        <w:t xml:space="preserve"> </w:t>
      </w:r>
      <w:hyperlink r:id="rId43">
        <w:r>
          <w:rPr>
            <w:rStyle w:val="Hyperlink"/>
          </w:rPr>
          <w:t xml:space="preserve">https://doi.org/10.29408/veles.v8i2.24289</w:t>
        </w:r>
      </w:hyperlink>
      <w:r>
        <w:t xml:space="preserve">.</w:t>
      </w:r>
    </w:p>
    <w:bookmarkEnd w:id="44"/>
    <w:bookmarkStart w:id="46" w:name="ref-liu2025"/>
    <w:p>
      <w:pPr>
        <w:pStyle w:val="Bibliography"/>
      </w:pPr>
      <w:r>
        <w:t xml:space="preserve">Liu, Yan, Wei Wang, und Enwei Xu. 2025.</w:t>
      </w:r>
      <w:r>
        <w:t xml:space="preserve"> </w:t>
      </w:r>
      <w:r>
        <w:t xml:space="preserve">«The</w:t>
      </w:r>
      <w:r>
        <w:t xml:space="preserve"> </w:t>
      </w:r>
      <w:r>
        <w:t xml:space="preserve">Effectiveness</w:t>
      </w:r>
      <w:r>
        <w:t xml:space="preserve"> </w:t>
      </w:r>
      <w:r>
        <w:t xml:space="preserve">of</w:t>
      </w:r>
      <w:r>
        <w:t xml:space="preserve"> </w:t>
      </w:r>
      <w:r>
        <w:t xml:space="preserve">Learning Analytics-Based Interventions</w:t>
      </w:r>
      <w:r>
        <w:t xml:space="preserve"> </w:t>
      </w:r>
      <w:r>
        <w:t xml:space="preserve">in</w:t>
      </w:r>
      <w:r>
        <w:t xml:space="preserve"> </w:t>
      </w:r>
      <w:r>
        <w:t xml:space="preserve">Enhancing Students</w:t>
      </w:r>
      <w:r>
        <w:t xml:space="preserve">’</w:t>
      </w:r>
      <w:r>
        <w:t xml:space="preserve"> </w:t>
      </w:r>
      <w:r>
        <w:t xml:space="preserve">Learning Effect</w:t>
      </w:r>
      <w:r>
        <w:t xml:space="preserve">:</w:t>
      </w:r>
      <w:r>
        <w:t xml:space="preserve"> </w:t>
      </w:r>
      <w:r>
        <w:t xml:space="preserve">A Meta-Analysis</w:t>
      </w:r>
      <w:r>
        <w:t xml:space="preserve"> </w:t>
      </w:r>
      <w:r>
        <w:t xml:space="preserve">of</w:t>
      </w:r>
      <w:r>
        <w:t xml:space="preserve"> </w:t>
      </w:r>
      <w:r>
        <w:t xml:space="preserve">Empirical Studies</w:t>
      </w:r>
      <w:r>
        <w:t xml:space="preserve">»</w:t>
      </w:r>
      <w:r>
        <w:t xml:space="preserve">.</w:t>
      </w:r>
      <w:r>
        <w:t xml:space="preserve"> </w:t>
      </w:r>
      <w:r>
        <w:rPr>
          <w:i/>
          <w:iCs/>
        </w:rPr>
        <w:t xml:space="preserve">SAGE Open</w:t>
      </w:r>
      <w:r>
        <w:t xml:space="preserve"> </w:t>
      </w:r>
      <w:r>
        <w:t xml:space="preserve">15 (2): 21582440251336707.</w:t>
      </w:r>
      <w:r>
        <w:t xml:space="preserve"> </w:t>
      </w:r>
      <w:hyperlink r:id="rId45">
        <w:r>
          <w:rPr>
            <w:rStyle w:val="Hyperlink"/>
          </w:rPr>
          <w:t xml:space="preserve">https://doi.org/10.1177/21582440251336707</w:t>
        </w:r>
      </w:hyperlink>
      <w:r>
        <w:t xml:space="preserve">.</w:t>
      </w:r>
    </w:p>
    <w:bookmarkEnd w:id="46"/>
    <w:bookmarkStart w:id="48" w:name="ref-mayer2019"/>
    <w:p>
      <w:pPr>
        <w:pStyle w:val="Bibliography"/>
      </w:pPr>
      <w:r>
        <w:t xml:space="preserve">Mayer, Richard E. 2019.</w:t>
      </w:r>
      <w:r>
        <w:t xml:space="preserve"> </w:t>
      </w:r>
      <w:r>
        <w:t xml:space="preserve">«Thirty Years of Research on Online Learning»</w:t>
      </w:r>
      <w:r>
        <w:t xml:space="preserve">.</w:t>
      </w:r>
      <w:r>
        <w:t xml:space="preserve"> </w:t>
      </w:r>
      <w:r>
        <w:rPr>
          <w:i/>
          <w:iCs/>
        </w:rPr>
        <w:t xml:space="preserve">Applied Cognitive Psychology</w:t>
      </w:r>
      <w:r>
        <w:t xml:space="preserve"> </w:t>
      </w:r>
      <w:r>
        <w:t xml:space="preserve">33 (2): 152–59.</w:t>
      </w:r>
      <w:r>
        <w:t xml:space="preserve"> </w:t>
      </w:r>
      <w:hyperlink r:id="rId47">
        <w:r>
          <w:rPr>
            <w:rStyle w:val="Hyperlink"/>
          </w:rPr>
          <w:t xml:space="preserve">https://doi.org/10.1002/acp.3482</w:t>
        </w:r>
      </w:hyperlink>
      <w:r>
        <w:t xml:space="preserve">.</w:t>
      </w:r>
    </w:p>
    <w:bookmarkEnd w:id="48"/>
    <w:bookmarkStart w:id="50" w:name="ref-puentedura2009"/>
    <w:p>
      <w:pPr>
        <w:pStyle w:val="Bibliography"/>
      </w:pPr>
      <w:r>
        <w:t xml:space="preserve">Puentedura, Ruben R. 2009.</w:t>
      </w:r>
      <w:r>
        <w:t xml:space="preserve"> </w:t>
      </w:r>
      <w:r>
        <w:rPr>
          <w:i/>
          <w:iCs/>
        </w:rPr>
        <w:t xml:space="preserve">SAMR</w:t>
      </w:r>
      <w:r>
        <w:rPr>
          <w:i/>
          <w:iCs/>
        </w:rPr>
        <w:t xml:space="preserve">, the</w:t>
      </w:r>
      <w:r>
        <w:rPr>
          <w:i/>
          <w:iCs/>
        </w:rPr>
        <w:t xml:space="preserve"> </w:t>
      </w:r>
      <w:r>
        <w:rPr>
          <w:i/>
          <w:iCs/>
        </w:rPr>
        <w:t xml:space="preserve">EdTech Quintet</w:t>
      </w:r>
      <w:r>
        <w:rPr>
          <w:i/>
          <w:iCs/>
        </w:rPr>
        <w:t xml:space="preserve">, and</w:t>
      </w:r>
      <w:r>
        <w:rPr>
          <w:i/>
          <w:iCs/>
        </w:rPr>
        <w:t xml:space="preserve"> </w:t>
      </w:r>
      <w:r>
        <w:rPr>
          <w:i/>
          <w:iCs/>
        </w:rPr>
        <w:t xml:space="preserve">Shared Practices</w:t>
      </w:r>
      <w:r>
        <w:rPr>
          <w:i/>
          <w:iCs/>
        </w:rPr>
        <w:t xml:space="preserve">:</w:t>
      </w:r>
      <w:r>
        <w:rPr>
          <w:i/>
          <w:iCs/>
        </w:rPr>
        <w:t xml:space="preserve"> </w:t>
      </w:r>
      <w:r>
        <w:rPr>
          <w:i/>
          <w:iCs/>
        </w:rPr>
        <w:t xml:space="preserve">An Introduction</w:t>
      </w:r>
      <w:r>
        <w:t xml:space="preserve">.</w:t>
      </w:r>
      <w:r>
        <w:t xml:space="preserve"> </w:t>
      </w:r>
      <w:hyperlink r:id="rId49">
        <w:r>
          <w:rPr>
            <w:rStyle w:val="Hyperlink"/>
          </w:rPr>
          <w:t xml:space="preserve">hippasus.com/rrpweblog/archives/2018/01/SAMRTheEdTechQuintetAndSharedPractices_AnIntroduction.pdf</w:t>
        </w:r>
      </w:hyperlink>
      <w:r>
        <w:t xml:space="preserve">.</w:t>
      </w:r>
    </w:p>
    <w:bookmarkEnd w:id="50"/>
    <w:bookmarkStart w:id="52" w:name="ref-sailer2020"/>
    <w:p>
      <w:pPr>
        <w:pStyle w:val="Bibliography"/>
      </w:pPr>
      <w:r>
        <w:t xml:space="preserve">Sailer, Michael, und Lisa Homner. 2020.</w:t>
      </w:r>
      <w:r>
        <w:t xml:space="preserve"> </w:t>
      </w:r>
      <w:r>
        <w:t xml:space="preserve">«The</w:t>
      </w:r>
      <w:r>
        <w:t xml:space="preserve"> </w:t>
      </w:r>
      <w:r>
        <w:t xml:space="preserve">Gamification</w:t>
      </w:r>
      <w:r>
        <w:t xml:space="preserve"> </w:t>
      </w:r>
      <w:r>
        <w:t xml:space="preserve">of</w:t>
      </w:r>
      <w:r>
        <w:t xml:space="preserve"> </w:t>
      </w:r>
      <w:r>
        <w:t xml:space="preserve">Learning</w:t>
      </w:r>
      <w:r>
        <w:t xml:space="preserve">: A</w:t>
      </w:r>
      <w:r>
        <w:t xml:space="preserve"> </w:t>
      </w:r>
      <w:r>
        <w:t xml:space="preserve">Meta</w:t>
      </w:r>
      <w:r>
        <w:t xml:space="preserve">-Analysis»</w:t>
      </w:r>
      <w:r>
        <w:t xml:space="preserve">.</w:t>
      </w:r>
      <w:r>
        <w:t xml:space="preserve"> </w:t>
      </w:r>
      <w:r>
        <w:rPr>
          <w:i/>
          <w:iCs/>
        </w:rPr>
        <w:t xml:space="preserve">Educational Psychology Review</w:t>
      </w:r>
      <w:r>
        <w:t xml:space="preserve"> </w:t>
      </w:r>
      <w:r>
        <w:t xml:space="preserve">32 (1): 77–112.</w:t>
      </w:r>
      <w:r>
        <w:t xml:space="preserve"> </w:t>
      </w:r>
      <w:hyperlink r:id="rId51">
        <w:r>
          <w:rPr>
            <w:rStyle w:val="Hyperlink"/>
          </w:rPr>
          <w:t xml:space="preserve">https://doi.org/10.1007/s10648-019-09498-w</w:t>
        </w:r>
      </w:hyperlink>
      <w:r>
        <w:t xml:space="preserve">.</w:t>
      </w:r>
    </w:p>
    <w:bookmarkEnd w:id="52"/>
    <w:bookmarkStart w:id="54" w:name="ref-schulmeister2005a"/>
    <w:p>
      <w:pPr>
        <w:pStyle w:val="Bibliography"/>
      </w:pPr>
      <w:r>
        <w:t xml:space="preserve">Schulmeister, Rolf. 2005.</w:t>
      </w:r>
      <w:r>
        <w:t xml:space="preserve"> </w:t>
      </w:r>
      <w:r>
        <w:rPr>
          <w:i/>
          <w:iCs/>
        </w:rPr>
        <w:t xml:space="preserve">Lernplattformen Für Das Virtuelle</w:t>
      </w:r>
      <w:r>
        <w:rPr>
          <w:i/>
          <w:iCs/>
        </w:rPr>
        <w:t xml:space="preserve"> </w:t>
      </w:r>
      <w:r>
        <w:rPr>
          <w:i/>
          <w:iCs/>
        </w:rPr>
        <w:t xml:space="preserve">Lernen</w:t>
      </w:r>
      <w:r>
        <w:rPr>
          <w:i/>
          <w:iCs/>
        </w:rPr>
        <w:t xml:space="preserve">:</w:t>
      </w:r>
      <w:r>
        <w:rPr>
          <w:i/>
          <w:iCs/>
        </w:rPr>
        <w:t xml:space="preserve"> </w:t>
      </w:r>
      <w:r>
        <w:rPr>
          <w:i/>
          <w:iCs/>
        </w:rPr>
        <w:t xml:space="preserve">Evaluation</w:t>
      </w:r>
      <w:r>
        <w:rPr>
          <w:i/>
          <w:iCs/>
        </w:rPr>
        <w:t xml:space="preserve"> </w:t>
      </w:r>
      <w:r>
        <w:rPr>
          <w:i/>
          <w:iCs/>
        </w:rPr>
        <w:t xml:space="preserve">Und</w:t>
      </w:r>
      <w:r>
        <w:rPr>
          <w:i/>
          <w:iCs/>
        </w:rPr>
        <w:t xml:space="preserve"> </w:t>
      </w:r>
      <w:r>
        <w:rPr>
          <w:i/>
          <w:iCs/>
        </w:rPr>
        <w:t xml:space="preserve">Didaktik</w:t>
      </w:r>
      <w:r>
        <w:t xml:space="preserve">. De Gruyter.</w:t>
      </w:r>
      <w:r>
        <w:t xml:space="preserve"> </w:t>
      </w:r>
      <w:hyperlink r:id="rId53">
        <w:r>
          <w:rPr>
            <w:rStyle w:val="Hyperlink"/>
          </w:rPr>
          <w:t xml:space="preserve">https://doi.org/10.1515/9783486816204</w:t>
        </w:r>
      </w:hyperlink>
      <w:r>
        <w:t xml:space="preserve">.</w:t>
      </w:r>
    </w:p>
    <w:bookmarkEnd w:id="54"/>
    <w:bookmarkStart w:id="55" w:name="ref-zierer2023"/>
    <w:p>
      <w:pPr>
        <w:pStyle w:val="Bibliography"/>
      </w:pPr>
      <w:r>
        <w:t xml:space="preserve">Zierer, Klaus. 2023.</w:t>
      </w:r>
      <w:r>
        <w:t xml:space="preserve"> </w:t>
      </w:r>
      <w:r>
        <w:rPr>
          <w:i/>
          <w:iCs/>
        </w:rPr>
        <w:t xml:space="preserve">Hattie für gestresste Lehrer 2.0: Kernbotschaften aus "Visible Learning" mit über 2100 Meta-Analysen</w:t>
      </w:r>
      <w:r>
        <w:t xml:space="preserve">. Schneider bei wbv.</w:t>
      </w:r>
    </w:p>
    <w:bookmarkEnd w:id="55"/>
    <w:bookmarkEnd w:id="56"/>
    <w:bookmarkEnd w:id="57"/>
    <w:sectPr w:rsidR="00970EC4">
      <w:headerReference r:id="rId8" w:type="default"/>
      <w:footnotePr>
        <w:numRestart w:val="eachSect"/>
      </w:footnotePr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okmarkStart w:id="9" w:name="DgLogo1" w:colFirst="1" w:colLast="1" w:displacedByCustomXml="next"/>
  <w:sdt>
    <w:sdtPr>
      <w:rPr>
        <w:rFonts w:eastAsiaTheme="minorEastAsia"/>
        <w:b w:val="0"/>
        <w:noProof w:val="0"/>
        <w:spacing w:val="0"/>
        <w:sz w:val="15"/>
        <w:szCs w:val="24"/>
        <w:lang w:val="en-US" w:eastAsia="zh-CN"/>
      </w:rPr>
      <w:id w:val="-1381006401"/>
    </w:sdtPr>
    <w:sdtEndPr>
      <w:rPr>
        <w:sz w:val="20"/>
      </w:rPr>
    </w:sdtEndPr>
    <w:sdtContent>
      <w:tbl>
        <w:tblPr>
          <w:tblStyle w:val="Layouttabelle"/>
          <w:tblW w:w="9298" w:type="dxa"/>
          <w:tblLayout w:type="fixed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>
        <w:tblGrid>
          <w:gridCol w:w="6159"/>
          <w:gridCol w:w="3139"/>
        </w:tblGrid>
        <w:tr w:rsidR="002612DE" w14:paraId="686AA1CF" w14:textId="77777777" w:rsidTr="00CD3039">
          <w:trPr>
            <w:trHeight w:val="652"/>
          </w:trPr>
          <w:tc>
            <w:tcPr>
              <w:tcW w:w="6159" w:type="dxa"/>
              <w:vAlign w:val="bottom"/>
            </w:tcPr>
            <w:p w14:paraId="133D0542" w14:textId="77777777" w:rsidR="002612DE" w:rsidRDefault="002612DE" w:rsidP="002612DE">
              <w:pPr>
                <w:pStyle w:val="Formular08ptFett"/>
              </w:pPr>
              <w:r>
                <w:fldChar w:fldCharType="begin"/>
              </w:r>
              <w:r>
                <w:instrText xml:space="preserve"> IF </w:instrText>
              </w:r>
              <w:r>
                <w:fldChar w:fldCharType="begin"/>
              </w:r>
              <w:r>
                <w:instrText xml:space="preserve"> DocProperty "Institut_Organisation" </w:instrText>
              </w:r>
              <w:r>
                <w:fldChar w:fldCharType="separate"/>
              </w:r>
              <w:r>
                <w:instrText>Institut Sekundarstufe I</w:instrText>
              </w:r>
              <w:r>
                <w:fldChar w:fldCharType="end"/>
              </w:r>
              <w:r>
                <w:instrText xml:space="preserve"> = " " "" "</w:instrText>
              </w:r>
              <w:r>
                <w:fldChar w:fldCharType="begin"/>
              </w:r>
              <w:r>
                <w:instrText xml:space="preserve"> DocProperty "Institut_Organisation" </w:instrText>
              </w:r>
              <w:r>
                <w:fldChar w:fldCharType="separate"/>
              </w:r>
              <w:r>
                <w:instrText>Institut Sekundarstufe I</w:instrText>
              </w:r>
              <w:r>
                <w:fldChar w:fldCharType="end"/>
              </w:r>
              <w:r>
                <w:instrText xml:space="preserve">" </w:instrText>
              </w:r>
              <w:r>
                <w:fldChar w:fldCharType="separate"/>
              </w:r>
              <w:r>
                <w:t>Institut Sekundarstufe I</w:t>
              </w:r>
              <w:r>
                <w:fldChar w:fldCharType="end"/>
              </w:r>
            </w:p>
            <w:p w14:paraId="26FF66F5" w14:textId="463ADC9F" w:rsidR="002612DE" w:rsidRDefault="002612DE" w:rsidP="002612DE">
              <w:pPr>
                <w:pStyle w:val="Formular08pt"/>
              </w:pPr>
              <w:r w:rsidRPr="00325D1F">
                <w:fldChar w:fldCharType="begin"/>
              </w:r>
              <w:r w:rsidRPr="00325D1F">
                <w:instrText xml:space="preserve"> IF </w:instrText>
              </w:r>
              <w:r w:rsidRPr="00325D1F">
                <w:fldChar w:fldCharType="begin"/>
              </w:r>
              <w:r w:rsidRPr="00325D1F">
                <w:instrText xml:space="preserve"> DocProperty "Institut_Strasse" </w:instrText>
              </w:r>
              <w:r w:rsidRPr="00325D1F">
                <w:fldChar w:fldCharType="separate"/>
              </w:r>
              <w:r>
                <w:instrText>Fabrikstrasse 8</w:instrText>
              </w:r>
              <w:r w:rsidRPr="00325D1F">
                <w:fldChar w:fldCharType="end"/>
              </w:r>
              <w:r w:rsidRPr="00325D1F">
                <w:instrText xml:space="preserve"> = " " "" "</w:instrText>
              </w:r>
              <w:r w:rsidRPr="00325D1F">
                <w:fldChar w:fldCharType="begin"/>
              </w:r>
              <w:r w:rsidRPr="00325D1F">
                <w:instrText xml:space="preserve"> DocProperty "Institut_Strasse" </w:instrText>
              </w:r>
              <w:r w:rsidRPr="00325D1F">
                <w:fldChar w:fldCharType="separate"/>
              </w:r>
              <w:r>
                <w:instrText>Fabrikstrasse 8</w:instrText>
              </w:r>
              <w:r w:rsidRPr="00325D1F">
                <w:fldChar w:fldCharType="end"/>
              </w:r>
              <w:r w:rsidRPr="00325D1F">
                <w:instrText xml:space="preserve">, " </w:instrText>
              </w:r>
              <w:r w:rsidRPr="00325D1F">
                <w:fldChar w:fldCharType="separate"/>
              </w:r>
              <w:r>
                <w:t>Fabrikstrasse 8</w:t>
              </w:r>
              <w:r w:rsidRPr="00325D1F">
                <w:t xml:space="preserve">, </w:t>
              </w:r>
              <w:r w:rsidRPr="00325D1F">
                <w:fldChar w:fldCharType="end"/>
              </w:r>
              <w:r>
                <w:fldChar w:fldCharType="begin"/>
              </w:r>
              <w:r>
                <w:instrText xml:space="preserve"> IF </w:instrText>
              </w:r>
              <w:r>
                <w:fldChar w:fldCharType="begin"/>
              </w:r>
              <w:r>
                <w:instrText xml:space="preserve"> DocProperty "Institut_Postfach" </w:instrText>
              </w:r>
              <w:r>
                <w:fldChar w:fldCharType="end"/>
              </w:r>
              <w:r>
                <w:instrText xml:space="preserve"> = "" "" "</w:instrText>
              </w:r>
              <w:r>
                <w:fldChar w:fldCharType="begin"/>
              </w:r>
              <w:r>
                <w:instrText xml:space="preserve"> DocProperty "Institut_Postfach" </w:instrText>
              </w:r>
              <w:r>
                <w:fldChar w:fldCharType="separate"/>
              </w:r>
              <w:r>
                <w:instrText>Postfach</w:instrText>
              </w:r>
              <w:r>
                <w:fldChar w:fldCharType="end"/>
              </w:r>
              <w:r>
                <w:instrText xml:space="preserve">, " </w:instrText>
              </w:r>
              <w:r>
                <w:fldChar w:fldCharType="end"/>
              </w:r>
              <w:r w:rsidRPr="00325D1F">
                <w:fldChar w:fldCharType="begin"/>
              </w:r>
              <w:r w:rsidRPr="00325D1F">
                <w:instrText xml:space="preserve"> IF </w:instrText>
              </w:r>
              <w:r w:rsidRPr="00325D1F">
                <w:fldChar w:fldCharType="begin"/>
              </w:r>
              <w:r w:rsidRPr="00325D1F">
                <w:instrText xml:space="preserve"> DocProperty "Institut_PLZ" </w:instrText>
              </w:r>
              <w:r w:rsidRPr="00325D1F">
                <w:fldChar w:fldCharType="separate"/>
              </w:r>
              <w:r>
                <w:instrText>CH-3012</w:instrText>
              </w:r>
              <w:r w:rsidRPr="00325D1F">
                <w:fldChar w:fldCharType="end"/>
              </w:r>
              <w:r w:rsidRPr="00325D1F">
                <w:instrText xml:space="preserve"> = " " "" "</w:instrText>
              </w:r>
              <w:r w:rsidRPr="00325D1F">
                <w:fldChar w:fldCharType="begin"/>
              </w:r>
              <w:r w:rsidRPr="00325D1F">
                <w:instrText xml:space="preserve"> DocProperty "Institut_PLZ" </w:instrText>
              </w:r>
              <w:r w:rsidRPr="00325D1F">
                <w:fldChar w:fldCharType="separate"/>
              </w:r>
              <w:r>
                <w:instrText>CH-3012</w:instrText>
              </w:r>
              <w:r w:rsidRPr="00325D1F">
                <w:fldChar w:fldCharType="end"/>
              </w:r>
              <w:r w:rsidRPr="00325D1F">
                <w:instrText xml:space="preserve"> " </w:instrText>
              </w:r>
              <w:r w:rsidRPr="00325D1F">
                <w:fldChar w:fldCharType="separate"/>
              </w:r>
              <w:r>
                <w:t>CH-3012</w:t>
              </w:r>
              <w:r w:rsidRPr="00325D1F">
                <w:t xml:space="preserve"> </w:t>
              </w:r>
              <w:r w:rsidRPr="00325D1F">
                <w:fldChar w:fldCharType="end"/>
              </w:r>
              <w:r w:rsidRPr="00325D1F">
                <w:fldChar w:fldCharType="begin"/>
              </w:r>
              <w:r w:rsidRPr="00325D1F">
                <w:instrText xml:space="preserve"> IF </w:instrText>
              </w:r>
              <w:r w:rsidRPr="00325D1F">
                <w:fldChar w:fldCharType="begin"/>
              </w:r>
              <w:r w:rsidRPr="00325D1F">
                <w:instrText xml:space="preserve"> DocProperty "Institut_Ort" </w:instrText>
              </w:r>
              <w:r w:rsidRPr="00325D1F">
                <w:fldChar w:fldCharType="separate"/>
              </w:r>
              <w:r>
                <w:instrText>Bern</w:instrText>
              </w:r>
              <w:r w:rsidRPr="00325D1F">
                <w:fldChar w:fldCharType="end"/>
              </w:r>
              <w:r w:rsidRPr="00325D1F">
                <w:instrText xml:space="preserve"> = " " "" "</w:instrText>
              </w:r>
              <w:r w:rsidRPr="00325D1F">
                <w:fldChar w:fldCharType="begin"/>
              </w:r>
              <w:r w:rsidRPr="00325D1F">
                <w:instrText xml:space="preserve"> DocProperty "Institut_Ort" </w:instrText>
              </w:r>
              <w:r w:rsidRPr="00325D1F">
                <w:fldChar w:fldCharType="separate"/>
              </w:r>
              <w:r>
                <w:instrText>Bern</w:instrText>
              </w:r>
              <w:r w:rsidRPr="00325D1F">
                <w:fldChar w:fldCharType="end"/>
              </w:r>
              <w:r w:rsidRPr="00325D1F">
                <w:instrText xml:space="preserve">" </w:instrText>
              </w:r>
              <w:r w:rsidRPr="00325D1F">
                <w:fldChar w:fldCharType="separate"/>
              </w:r>
              <w:r>
                <w:t>Bern</w:t>
              </w:r>
              <w:r w:rsidRPr="00325D1F">
                <w:fldChar w:fldCharType="end"/>
              </w:r>
            </w:p>
            <w:p w14:paraId="2F1D7E66" w14:textId="77777777" w:rsidR="002612DE" w:rsidRDefault="002612DE" w:rsidP="002612DE">
              <w:pPr>
                <w:pStyle w:val="Formular08pt"/>
              </w:pPr>
              <w:r w:rsidRPr="00325D1F">
                <w:fldChar w:fldCharType="begin"/>
              </w:r>
              <w:r w:rsidRPr="00325D1F">
                <w:instrText xml:space="preserve"> IF </w:instrText>
              </w:r>
              <w:r w:rsidRPr="00325D1F">
                <w:fldChar w:fldCharType="begin"/>
              </w:r>
              <w:r w:rsidRPr="00325D1F">
                <w:instrText xml:space="preserve"> DocProperty "Institut_Telefon" </w:instrText>
              </w:r>
              <w:r w:rsidRPr="00325D1F">
                <w:fldChar w:fldCharType="separate"/>
              </w:r>
              <w:r>
                <w:instrText>+41 31 309 21 15</w:instrText>
              </w:r>
              <w:r w:rsidRPr="00325D1F">
                <w:fldChar w:fldCharType="end"/>
              </w:r>
              <w:r w:rsidRPr="00325D1F">
                <w:instrText xml:space="preserve"> = " " "" "T </w:instrText>
              </w:r>
              <w:r w:rsidRPr="00325D1F">
                <w:fldChar w:fldCharType="begin"/>
              </w:r>
              <w:r w:rsidRPr="00325D1F">
                <w:instrText xml:space="preserve"> DocProperty "Institut_Telefon" </w:instrText>
              </w:r>
              <w:r w:rsidRPr="00325D1F">
                <w:fldChar w:fldCharType="separate"/>
              </w:r>
              <w:r>
                <w:instrText>+41 31 309 21 15</w:instrText>
              </w:r>
              <w:r w:rsidRPr="00325D1F">
                <w:fldChar w:fldCharType="end"/>
              </w:r>
              <w:r>
                <w:instrText xml:space="preserve">, </w:instrText>
              </w:r>
              <w:r w:rsidRPr="00325D1F">
                <w:instrText xml:space="preserve">" </w:instrText>
              </w:r>
              <w:r w:rsidRPr="00325D1F">
                <w:fldChar w:fldCharType="separate"/>
              </w:r>
              <w:r w:rsidRPr="00325D1F">
                <w:t xml:space="preserve">T </w:t>
              </w:r>
              <w:r>
                <w:t xml:space="preserve">+41 31 309 21 15, </w:t>
              </w:r>
              <w:r w:rsidRPr="00325D1F">
                <w:fldChar w:fldCharType="end"/>
              </w:r>
              <w:r>
                <w:t>contactdesk@phbern.ch,</w:t>
              </w:r>
              <w:r w:rsidRPr="00325D1F">
                <w:t xml:space="preserve"> </w:t>
              </w:r>
              <w:r w:rsidRPr="00325D1F">
                <w:fldChar w:fldCharType="begin"/>
              </w:r>
              <w:r w:rsidRPr="00325D1F">
                <w:instrText xml:space="preserve"> IF </w:instrText>
              </w:r>
              <w:r w:rsidRPr="00325D1F">
                <w:fldChar w:fldCharType="begin"/>
              </w:r>
              <w:r w:rsidRPr="00325D1F">
                <w:instrText xml:space="preserve"> DocProperty "Institut_Internet" </w:instrText>
              </w:r>
              <w:r w:rsidRPr="00325D1F">
                <w:fldChar w:fldCharType="separate"/>
              </w:r>
              <w:r>
                <w:instrText>www.phbern.ch</w:instrText>
              </w:r>
              <w:r w:rsidRPr="00325D1F">
                <w:fldChar w:fldCharType="end"/>
              </w:r>
              <w:r w:rsidRPr="00325D1F">
                <w:instrText xml:space="preserve"> = " " "" "</w:instrText>
              </w:r>
              <w:r w:rsidRPr="00325D1F">
                <w:fldChar w:fldCharType="begin"/>
              </w:r>
              <w:r w:rsidRPr="00325D1F">
                <w:instrText xml:space="preserve"> DocProperty "Institut_Internet" </w:instrText>
              </w:r>
              <w:r w:rsidRPr="00325D1F">
                <w:fldChar w:fldCharType="separate"/>
              </w:r>
              <w:r>
                <w:instrText>www.phbern.ch</w:instrText>
              </w:r>
              <w:r w:rsidRPr="00325D1F">
                <w:fldChar w:fldCharType="end"/>
              </w:r>
              <w:r w:rsidRPr="00325D1F">
                <w:instrText xml:space="preserve">" </w:instrText>
              </w:r>
              <w:r w:rsidRPr="00325D1F">
                <w:fldChar w:fldCharType="separate"/>
              </w:r>
              <w:r>
                <w:t>www.phbern.ch</w:t>
              </w:r>
              <w:r w:rsidRPr="00325D1F">
                <w:fldChar w:fldCharType="end"/>
              </w:r>
            </w:p>
          </w:tc>
          <w:tc>
            <w:tcPr>
              <w:tcW w:w="3139" w:type="dxa"/>
              <w:vMerge w:val="restart"/>
            </w:tcPr>
            <w:p w14:paraId="1986EE24" w14:textId="77777777" w:rsidR="002612DE" w:rsidRDefault="002612DE" w:rsidP="002612DE">
              <w:pPr>
                <w:pStyle w:val="Header"/>
                <w:jc w:val="center"/>
              </w:pPr>
              <w:r>
                <w:rPr>
                  <w:noProof/>
                </w:rPr>
                <w:drawing>
                  <wp:inline distT="0" distB="0" distL="0" distR="0" wp14:anchorId="5684E7A8" wp14:editId="43B7FA6A">
                    <wp:extent cx="1981200" cy="444500"/>
                    <wp:effectExtent l="0" t="0" r="0" b="0"/>
                    <wp:docPr id="2" name="Pictur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"/>
                            <pic:cNvPicPr>
                              <a:picLocks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482" t="-4465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81200" cy="444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tc>
        </w:tr>
        <w:tr w:rsidR="002612DE" w14:paraId="1647787D" w14:textId="77777777" w:rsidTr="00CD3039">
          <w:trPr>
            <w:trHeight w:val="255"/>
          </w:trPr>
          <w:tc>
            <w:tcPr>
              <w:tcW w:w="6159" w:type="dxa"/>
              <w:tcBorders>
                <w:bottom w:val="nil"/>
              </w:tcBorders>
            </w:tcPr>
            <w:p w14:paraId="5DCE6E05" w14:textId="77777777" w:rsidR="002612DE" w:rsidRDefault="002612DE" w:rsidP="002612DE">
              <w:pPr>
                <w:pStyle w:val="Formular08ptFett"/>
                <w:tabs>
                  <w:tab w:val="left" w:pos="1004"/>
                </w:tabs>
              </w:pPr>
              <w:r>
                <w:tab/>
              </w:r>
            </w:p>
          </w:tc>
          <w:tc>
            <w:tcPr>
              <w:tcW w:w="3139" w:type="dxa"/>
              <w:vMerge/>
              <w:tcBorders>
                <w:bottom w:val="nil"/>
              </w:tcBorders>
            </w:tcPr>
            <w:p w14:paraId="535F9E44" w14:textId="77777777" w:rsidR="002612DE" w:rsidRDefault="002612DE" w:rsidP="002612DE">
              <w:pPr>
                <w:pStyle w:val="Header"/>
                <w:jc w:val="right"/>
              </w:pPr>
            </w:p>
          </w:tc>
        </w:tr>
        <w:bookmarkEnd w:id="9"/>
        <w:tr w:rsidR="002612DE" w14:paraId="69DF616B" w14:textId="77777777" w:rsidTr="00CD3039">
          <w:trPr>
            <w:trHeight w:hRule="exact" w:val="40"/>
          </w:trPr>
          <w:tc>
            <w:tcPr>
              <w:tcW w:w="9298" w:type="dxa"/>
              <w:gridSpan w:val="2"/>
              <w:shd w:val="clear" w:color="auto" w:fill="000000" w:themeFill="text1"/>
            </w:tcPr>
            <w:p w14:paraId="4EE60875" w14:textId="77777777" w:rsidR="002612DE" w:rsidRDefault="002612DE" w:rsidP="002612DE">
              <w:pPr>
                <w:pStyle w:val="Header"/>
              </w:pPr>
            </w:p>
          </w:tc>
        </w:tr>
        <w:tr w:rsidR="002612DE" w14:paraId="170C8632" w14:textId="77777777" w:rsidTr="00CD3039">
          <w:trPr>
            <w:trHeight w:hRule="exact" w:val="102"/>
          </w:trPr>
          <w:tc>
            <w:tcPr>
              <w:tcW w:w="9298" w:type="dxa"/>
              <w:gridSpan w:val="2"/>
              <w:tcBorders>
                <w:top w:val="single" w:sz="4" w:space="0" w:color="auto"/>
              </w:tcBorders>
            </w:tcPr>
            <w:p w14:paraId="37F6EDC6" w14:textId="77777777" w:rsidR="002612DE" w:rsidRDefault="00000000" w:rsidP="002612DE">
              <w:pPr>
                <w:pStyle w:val="Header"/>
              </w:pPr>
            </w:p>
          </w:tc>
        </w:tr>
      </w:tbl>
    </w:sdtContent>
  </w:sdt>
  <w:p w14:paraId="2FF7D03B" w14:textId="77777777" w:rsidR="002612DE" w:rsidRDefault="002612DE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170CD2DE"/>
    <w:multiLevelType w:val="multilevel"/>
    <w:tmpl w:val="122466D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15:restartNumberingAfterBreak="0" w:abstractNumId="1">
    <w:nsid w:val="3DAC2127"/>
    <w:multiLevelType w:val="multilevel"/>
    <w:tmpl w:val="F5124182"/>
    <w:lvl w:ilvl="0">
      <w:start w:val="1"/>
      <w:numFmt w:val="decimal"/>
      <w:pStyle w:val="Heading1"/>
      <w:lvlText w:val="%1"/>
      <w:lvlJc w:val="left"/>
      <w:pPr>
        <w:ind w:hanging="562" w:left="56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hanging="562" w:left="562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hanging="562" w:left="562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hanging="562" w:left="5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hanging="562" w:left="56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936" w:left="27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080" w:left="32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224" w:left="374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440" w:left="4320"/>
      </w:pPr>
      <w:rPr>
        <w:rFonts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num w16cid:durableId="1431244503" w:numId="1">
    <w:abstractNumId w:val="0"/>
  </w:num>
  <w:num w16cid:durableId="417678084" w:numId="2">
    <w:abstractNumId w:val="1"/>
  </w:num>
  <w:num w16cid:durableId="643051694" w:numId="3">
    <w:abstractNumId w:val="1"/>
  </w:num>
  <w:num w16cid:durableId="1532836833" w:numId="4">
    <w:abstractNumId w:val="1"/>
  </w:num>
  <w:num w:numId="1000">
    <w:abstractNumId w:val="990"/>
  </w:num>
  <w:num w:numId="1001">
    <w:abstractNumId w:val="991"/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77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0EC4"/>
    <w:rsid w:val="00075BE9"/>
    <w:rsid w:val="001027F8"/>
    <w:rsid w:val="001C3A48"/>
    <w:rsid w:val="002612DE"/>
    <w:rsid w:val="00292D95"/>
    <w:rsid w:val="002D6D22"/>
    <w:rsid w:val="0048226F"/>
    <w:rsid w:val="004E2B33"/>
    <w:rsid w:val="004E47B5"/>
    <w:rsid w:val="00561532"/>
    <w:rsid w:val="005D286C"/>
    <w:rsid w:val="005F480E"/>
    <w:rsid w:val="00887799"/>
    <w:rsid w:val="00956ABD"/>
    <w:rsid w:val="00970EC4"/>
    <w:rsid w:val="009F6718"/>
    <w:rsid w:val="00A430C2"/>
    <w:rsid w:val="00AF44D4"/>
    <w:rsid w:val="00B05754"/>
    <w:rsid w:val="00B73717"/>
    <w:rsid w:val="00C26340"/>
    <w:rsid w:val="00DE41F5"/>
    <w:rsid w:val="00EA2F31"/>
    <w:rsid w:val="00F3638E"/>
    <w:rsid w:val="00FB5138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de-CH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1" w:uiPriority="4"/>
    <w:lsdException w:name="head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B73717"/>
    <w:rPr>
      <w:rFonts w:ascii="Arial" w:hAnsi="Arial"/>
      <w:sz w:val="20"/>
    </w:rPr>
  </w:style>
  <w:style w:styleId="Heading1" w:type="paragraph">
    <w:name w:val="heading 1"/>
    <w:basedOn w:val="Normal"/>
    <w:next w:val="BodyText"/>
    <w:link w:val="Heading1Char"/>
    <w:uiPriority w:val="4"/>
    <w:qFormat/>
    <w:rsid w:val="00292D95"/>
    <w:pPr>
      <w:keepNext/>
      <w:numPr>
        <w:numId w:val="2"/>
      </w:numPr>
      <w:spacing w:after="120" w:before="240"/>
      <w:outlineLvl w:val="0"/>
    </w:pPr>
    <w:rPr>
      <w:rFonts w:cstheme="majorBidi" w:eastAsiaTheme="majorEastAsia"/>
      <w:b/>
      <w:sz w:val="22"/>
      <w:szCs w:val="22"/>
    </w:rPr>
  </w:style>
  <w:style w:styleId="Heading2" w:type="paragraph">
    <w:name w:val="heading 2"/>
    <w:basedOn w:val="Normal"/>
    <w:next w:val="BodyText"/>
    <w:link w:val="Heading2Char"/>
    <w:uiPriority w:val="9"/>
    <w:unhideWhenUsed/>
    <w:qFormat/>
    <w:rsid w:val="00B73717"/>
    <w:pPr>
      <w:keepNext/>
      <w:keepLines/>
      <w:numPr>
        <w:ilvl w:val="1"/>
        <w:numId w:val="2"/>
      </w:numPr>
      <w:spacing w:after="80" w:before="160"/>
      <w:outlineLvl w:val="1"/>
    </w:pPr>
    <w:rPr>
      <w:rFonts w:cs="Arial" w:eastAsiaTheme="majorEastAsia"/>
      <w:b/>
      <w:bCs/>
      <w:szCs w:val="20"/>
    </w:rPr>
  </w:style>
  <w:style w:styleId="Heading3" w:type="paragraph">
    <w:name w:val="heading 3"/>
    <w:basedOn w:val="Heading2"/>
    <w:next w:val="BodyText"/>
    <w:link w:val="Heading3Char"/>
    <w:uiPriority w:val="9"/>
    <w:unhideWhenUsed/>
    <w:qFormat/>
    <w:rsid w:val="00B73717"/>
    <w:pPr>
      <w:numPr>
        <w:ilvl w:val="2"/>
      </w:numPr>
      <w:outlineLvl w:val="2"/>
    </w:pPr>
  </w:style>
  <w:style w:styleId="Heading4" w:type="paragraph">
    <w:name w:val="heading 4"/>
    <w:basedOn w:val="Heading3"/>
    <w:next w:val="BodyText"/>
    <w:link w:val="Heading4Char"/>
    <w:uiPriority w:val="9"/>
    <w:unhideWhenUsed/>
    <w:qFormat/>
    <w:rsid w:val="00B73717"/>
    <w:pPr>
      <w:numPr>
        <w:ilvl w:val="3"/>
      </w:numPr>
      <w:outlineLvl w:val="3"/>
    </w:p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EA2F31"/>
    <w:pPr>
      <w:spacing w:after="0"/>
      <w:contextualSpacing/>
    </w:pPr>
    <w:rPr>
      <w:rFonts w:cs="Arial" w:eastAsiaTheme="majorEastAsia"/>
      <w:b/>
      <w:bCs/>
      <w:sz w:val="28"/>
      <w:szCs w:val="28"/>
    </w:rPr>
  </w:style>
  <w:style w:customStyle="1" w:styleId="TitleChar" w:type="character">
    <w:name w:val="Title Char"/>
    <w:basedOn w:val="DefaultParagraphFont"/>
    <w:link w:val="Title"/>
    <w:uiPriority w:val="10"/>
    <w:rsid w:val="00EA2F31"/>
    <w:rPr>
      <w:rFonts w:ascii="Arial" w:cs="Arial" w:eastAsiaTheme="majorEastAsia" w:hAnsi="Arial"/>
      <w:b/>
      <w:bCs/>
      <w:sz w:val="28"/>
      <w:szCs w:val="28"/>
    </w:rPr>
  </w:style>
  <w:style w:styleId="Subtitle" w:type="paragraph">
    <w:name w:val="Subtitle"/>
    <w:basedOn w:val="Title"/>
    <w:next w:val="BodyText"/>
    <w:link w:val="SubtitleChar"/>
    <w:uiPriority w:val="11"/>
    <w:qFormat/>
    <w:rsid w:val="00075BE9"/>
    <w:pPr>
      <w:numPr>
        <w:ilvl w:val="1"/>
      </w:numPr>
    </w:pPr>
    <w:rPr>
      <w:rFonts w:cstheme="majorBidi"/>
      <w:b w:val="0"/>
      <w:bCs w:val="0"/>
      <w:spacing w:val="15"/>
    </w:rPr>
  </w:style>
  <w:style w:customStyle="1" w:styleId="SubtitleChar" w:type="character">
    <w:name w:val="Subtitle Char"/>
    <w:basedOn w:val="DefaultParagraphFont"/>
    <w:link w:val="Subtitle"/>
    <w:uiPriority w:val="11"/>
    <w:rsid w:val="00075BE9"/>
    <w:rPr>
      <w:rFonts w:ascii="Arial" w:cstheme="majorBidi" w:eastAsiaTheme="majorEastAsia" w:hAnsi="Arial"/>
      <w:spacing w:val="15"/>
      <w:sz w:val="28"/>
      <w:szCs w:val="28"/>
    </w:rPr>
  </w:style>
  <w:style w:customStyle="1" w:styleId="Author" w:type="paragraph">
    <w:name w:val="Author"/>
    <w:basedOn w:val="Formular08pt"/>
    <w:next w:val="BodyText"/>
    <w:qFormat/>
    <w:rsid w:val="00075BE9"/>
    <w:pPr>
      <w:spacing w:after="360" w:before="120" w:line="480" w:lineRule="auto"/>
    </w:pPr>
    <w:rPr>
      <w:lang w:val="en-US"/>
    </w:rPr>
  </w:style>
  <w:style w:styleId="Date" w:type="paragraph">
    <w:name w:val="Date"/>
    <w:basedOn w:val="Title"/>
    <w:next w:val="BodyText"/>
    <w:qFormat/>
    <w:rsid w:val="00FB5138"/>
    <w:pPr>
      <w:keepNext/>
      <w:keepLines/>
      <w:jc w:val="right"/>
    </w:pPr>
    <w:rPr>
      <w:b w:val="0"/>
      <w:bCs w:val="0"/>
      <w:sz w:val="16"/>
      <w:szCs w:val="16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Cs w:val="20"/>
    </w:rPr>
  </w:style>
  <w:style w:styleId="Bibliography" w:type="paragraph">
    <w:name w:val="Bibliography"/>
    <w:basedOn w:val="Normal"/>
    <w:qFormat/>
  </w:style>
  <w:style w:customStyle="1" w:styleId="Heading1Char" w:type="character">
    <w:name w:val="Heading 1 Char"/>
    <w:basedOn w:val="DefaultParagraphFont"/>
    <w:link w:val="Heading1"/>
    <w:uiPriority w:val="4"/>
    <w:rsid w:val="00292D95"/>
    <w:rPr>
      <w:rFonts w:ascii="Arial" w:cstheme="majorBidi" w:eastAsiaTheme="majorEastAsia" w:hAnsi="Arial"/>
      <w:b/>
      <w:sz w:val="22"/>
      <w:szCs w:val="22"/>
    </w:rPr>
  </w:style>
  <w:style w:customStyle="1" w:styleId="Heading2Char" w:type="character">
    <w:name w:val="Heading 2 Char"/>
    <w:basedOn w:val="DefaultParagraphFont"/>
    <w:link w:val="Heading2"/>
    <w:uiPriority w:val="9"/>
    <w:rsid w:val="00B73717"/>
    <w:rPr>
      <w:rFonts w:ascii="Arial" w:cs="Arial" w:eastAsiaTheme="majorEastAsia" w:hAnsi="Arial"/>
      <w:b/>
      <w:bCs/>
      <w:sz w:val="20"/>
      <w:szCs w:val="20"/>
    </w:rPr>
  </w:style>
  <w:style w:customStyle="1" w:styleId="Heading3Char" w:type="character">
    <w:name w:val="Heading 3 Char"/>
    <w:basedOn w:val="DefaultParagraphFont"/>
    <w:link w:val="Heading3"/>
    <w:uiPriority w:val="9"/>
    <w:rsid w:val="00B73717"/>
    <w:rPr>
      <w:rFonts w:ascii="Arial" w:cs="Arial" w:eastAsiaTheme="majorEastAsia" w:hAnsi="Arial"/>
      <w:b/>
      <w:bCs/>
      <w:sz w:val="20"/>
      <w:szCs w:val="20"/>
    </w:rPr>
  </w:style>
  <w:style w:customStyle="1" w:styleId="Heading4Char" w:type="character">
    <w:name w:val="Heading 4 Char"/>
    <w:basedOn w:val="DefaultParagraphFont"/>
    <w:link w:val="Heading4"/>
    <w:uiPriority w:val="9"/>
    <w:rsid w:val="00B73717"/>
    <w:rPr>
      <w:rFonts w:ascii="Arial" w:cs="Arial" w:eastAsiaTheme="majorEastAsia" w:hAnsi="Arial"/>
      <w:b/>
      <w:bCs/>
      <w:sz w:val="20"/>
      <w:szCs w:val="20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left="480" w:right="480"/>
    </w:pPr>
  </w:style>
  <w:style w:customStyle="1" w:styleId="Table" w:type="table">
    <w:name w:val="Table"/>
    <w:basedOn w:val="TableNormal"/>
    <w:semiHidden/>
    <w:unhideWhenUsed/>
    <w:qFormat/>
    <w:rsid w:val="00561532"/>
    <w:rPr>
      <w:rFonts w:ascii="Arial" w:hAnsi="Arial"/>
      <w:sz w:val="20"/>
    </w:rPr>
    <w:tblPr>
      <w:tblStyleRowBandSize w:val="1"/>
    </w:tblPr>
    <w:tcPr>
      <w:shd w:color="auto" w:fill="auto" w:val="clear"/>
    </w:tcPr>
    <w:tblStylePr w:type="firstRow">
      <w:rPr>
        <w:b/>
      </w:rPr>
      <w:tblPr/>
      <w:tcPr>
        <w:tcBorders>
          <w:bottom w:color="auto" w:space="0" w:sz="0" w:val="single"/>
        </w:tcBorders>
        <w:vAlign w:val="bottom"/>
      </w:tcPr>
    </w:tblStylePr>
    <w:tblStylePr w:type="band1Horz">
      <w:tblPr/>
      <w:tcPr>
        <w:shd w:color="auto" w:fill="E8E8E8" w:themeFill="background2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sid w:val="00C26340"/>
    <w:rPr>
      <w:color w:val="AD0101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line="259" w:lineRule="auto"/>
      <w:outlineLvl w:val="9"/>
    </w:pPr>
    <w:rPr>
      <w:rFonts w:asciiTheme="majorHAnsi" w:hAnsiTheme="majorHAnsi"/>
      <w:color w:themeColor="accent1" w:themeShade="BF" w:val="0F4761"/>
    </w:rPr>
  </w:style>
  <w:style w:styleId="FollowedHyperlink" w:type="character">
    <w:name w:val="FollowedHyperlink"/>
    <w:basedOn w:val="DefaultParagraphFont"/>
    <w:rsid w:val="00C26340"/>
    <w:rPr>
      <w:color w:val="780101"/>
      <w:u w:val="single"/>
    </w:rPr>
  </w:style>
  <w:style w:styleId="TableGrid" w:type="table">
    <w:name w:val="Table Grid"/>
    <w:basedOn w:val="TableNormal"/>
    <w:rsid w:val="002612DE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PlainTable1" w:type="table">
    <w:name w:val="Plain Table 1"/>
    <w:basedOn w:val="TableNormal"/>
    <w:rsid w:val="002612DE"/>
    <w:pPr>
      <w:spacing w:after="0"/>
    </w:pPr>
    <w:tblPr>
      <w:tblStyleRowBandSize w:val="1"/>
      <w:tblStyleColBandSize w:val="1"/>
      <w:tblBorders>
        <w:top w:color="BFBFBF" w:space="0" w:sz="4" w:themeColor="background1" w:themeShade="BF" w:val="single"/>
        <w:left w:color="BFBFBF" w:space="0" w:sz="4" w:themeColor="background1" w:themeShade="BF" w:val="single"/>
        <w:bottom w:color="BFBFBF" w:space="0" w:sz="4" w:themeColor="background1" w:themeShade="BF" w:val="single"/>
        <w:right w:color="BFBFBF" w:space="0" w:sz="4" w:themeColor="background1" w:themeShade="BF" w:val="single"/>
        <w:insideH w:color="BFBFBF" w:space="0" w:sz="4" w:themeColor="background1" w:themeShade="BF" w:val="single"/>
        <w:insideV w:color="BFBFBF" w:space="0" w:sz="4" w:themeColor="background1" w:themeShade="BF" w:val="singl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FBFBF" w:space="0" w:sz="4" w:themeColor="background1" w:themeShade="BF" w:val="doub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</w:style>
  <w:style w:styleId="Header" w:type="paragraph">
    <w:name w:val="header"/>
    <w:basedOn w:val="Normal"/>
    <w:link w:val="HeaderChar"/>
    <w:uiPriority w:val="99"/>
    <w:rsid w:val="002612D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uiPriority w:val="99"/>
    <w:rsid w:val="002612DE"/>
  </w:style>
  <w:style w:styleId="Footer" w:type="paragraph">
    <w:name w:val="footer"/>
    <w:basedOn w:val="Normal"/>
    <w:link w:val="FooterChar"/>
    <w:rsid w:val="002612D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2612DE"/>
  </w:style>
  <w:style w:customStyle="1" w:styleId="Layouttabelle" w:type="table">
    <w:name w:val="Layouttabelle"/>
    <w:basedOn w:val="TableNormal"/>
    <w:uiPriority w:val="99"/>
    <w:qFormat/>
    <w:rsid w:val="002612DE"/>
    <w:pPr>
      <w:spacing w:after="0"/>
    </w:pPr>
    <w:rPr>
      <w:rFonts w:ascii="Arial" w:eastAsiaTheme="minorHAnsi" w:hAnsi="Arial"/>
      <w:sz w:val="16"/>
      <w:szCs w:val="20"/>
      <w:lang w:eastAsia="en-US" w:val="de-CH"/>
    </w:rPr>
    <w:tblPr>
      <w:tblCellMar>
        <w:left w:type="dxa" w:w="57"/>
        <w:right w:type="dxa" w:w="57"/>
      </w:tblCellMar>
    </w:tblPr>
    <w:trPr>
      <w:cantSplit/>
    </w:trPr>
  </w:style>
  <w:style w:customStyle="1" w:styleId="Formular08pt" w:type="paragraph">
    <w:name w:val="Formular 08 pt"/>
    <w:basedOn w:val="Normal"/>
    <w:link w:val="Formular08ptZchn"/>
    <w:semiHidden/>
    <w:rsid w:val="002612DE"/>
    <w:pPr>
      <w:spacing w:after="0" w:line="192" w:lineRule="atLeast"/>
    </w:pPr>
    <w:rPr>
      <w:rFonts w:eastAsiaTheme="minorHAnsi"/>
      <w:noProof/>
      <w:spacing w:val="2"/>
      <w:sz w:val="16"/>
      <w:szCs w:val="20"/>
      <w:lang w:eastAsia="en-US" w:val="de-CH"/>
    </w:rPr>
  </w:style>
  <w:style w:customStyle="1" w:styleId="Formular08ptFett" w:type="paragraph">
    <w:name w:val="Formular 08 pt Fett"/>
    <w:basedOn w:val="Normal"/>
    <w:link w:val="Formular08ptFettZchn"/>
    <w:semiHidden/>
    <w:rsid w:val="002612DE"/>
    <w:pPr>
      <w:spacing w:after="0" w:line="192" w:lineRule="atLeast"/>
    </w:pPr>
    <w:rPr>
      <w:rFonts w:eastAsiaTheme="minorHAnsi"/>
      <w:b/>
      <w:noProof/>
      <w:spacing w:val="2"/>
      <w:sz w:val="16"/>
      <w:szCs w:val="20"/>
      <w:lang w:eastAsia="en-US" w:val="de-CH"/>
    </w:rPr>
  </w:style>
  <w:style w:customStyle="1" w:styleId="Formular08ptZchn" w:type="character">
    <w:name w:val="Formular 08 pt Zchn"/>
    <w:basedOn w:val="DefaultParagraphFont"/>
    <w:link w:val="Formular08pt"/>
    <w:semiHidden/>
    <w:rsid w:val="002612DE"/>
    <w:rPr>
      <w:rFonts w:ascii="Arial" w:eastAsiaTheme="minorHAnsi" w:hAnsi="Arial"/>
      <w:noProof/>
      <w:spacing w:val="2"/>
      <w:sz w:val="16"/>
      <w:szCs w:val="20"/>
      <w:lang w:eastAsia="en-US" w:val="de-CH"/>
    </w:rPr>
  </w:style>
  <w:style w:customStyle="1" w:styleId="Formular08ptFettZchn" w:type="character">
    <w:name w:val="Formular 08 pt Fett Zchn"/>
    <w:basedOn w:val="DefaultParagraphFont"/>
    <w:link w:val="Formular08ptFett"/>
    <w:semiHidden/>
    <w:rsid w:val="002612DE"/>
    <w:rPr>
      <w:rFonts w:ascii="Arial" w:eastAsiaTheme="minorHAnsi" w:hAnsi="Arial"/>
      <w:b/>
      <w:noProof/>
      <w:spacing w:val="2"/>
      <w:sz w:val="16"/>
      <w:szCs w:val="20"/>
      <w:lang w:eastAsia="en-US" w:val="de-CH"/>
    </w:rPr>
  </w:style>
  <w:style w:styleId="UnresolvedMention" w:type="character">
    <w:name w:val="Unresolved Mention"/>
    <w:basedOn w:val="DefaultParagraphFont"/>
    <w:uiPriority w:val="99"/>
    <w:semiHidden/>
    <w:unhideWhenUsed/>
    <w:rsid w:val="00AF44D4"/>
    <w:rPr>
      <w:color w:val="605E5C"/>
      <w:shd w:color="auto" w:fill="E1DFDD" w:val="clear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6" Target="numbering.xml" /><Relationship Type="http://schemas.openxmlformats.org/officeDocument/2006/relationships/styles" Id="rId15" Target="styles.xml" /><Relationship Type="http://schemas.openxmlformats.org/officeDocument/2006/relationships/settings" Id="rId14" Target="settings.xml" /><Relationship Type="http://schemas.openxmlformats.org/officeDocument/2006/relationships/webSettings" Id="rId13" Target="webSettings.xml" /><Relationship Type="http://schemas.openxmlformats.org/officeDocument/2006/relationships/fontTable" Id="rId12" Target="fontTable.xml" /><Relationship Type="http://schemas.openxmlformats.org/officeDocument/2006/relationships/theme" Id="rId11" Target="theme/theme1.xml" /><Relationship Type="http://schemas.openxmlformats.org/officeDocument/2006/relationships/footnotes" Id="rId10" Target="footnotes.xml" /><Relationship Type="http://schemas.openxmlformats.org/officeDocument/2006/relationships/comments" Id="rId9" Target="comments.xml" /><Relationship Id="rId8" Target="header1.xml" Type="http://schemas.openxmlformats.org/officeDocument/2006/relationships/header" /><Relationship Type="http://schemas.openxmlformats.org/officeDocument/2006/relationships/hyperlink" Id="rId47" Target="https://doi.org/10.1002/acp.3482" TargetMode="External" /><Relationship Type="http://schemas.openxmlformats.org/officeDocument/2006/relationships/hyperlink" Id="rId51" Target="https://doi.org/10.1007/s10648-019-09498-w" TargetMode="External" /><Relationship Type="http://schemas.openxmlformats.org/officeDocument/2006/relationships/hyperlink" Id="rId35" Target="https://doi.org/10.1016/j.compedu.2022.104648" TargetMode="External" /><Relationship Type="http://schemas.openxmlformats.org/officeDocument/2006/relationships/hyperlink" Id="rId41" Target="https://doi.org/10.1016/j.ijme.2023.100822" TargetMode="External" /><Relationship Type="http://schemas.openxmlformats.org/officeDocument/2006/relationships/hyperlink" Id="rId39" Target="https://doi.org/10.1080/00461520.2014.965823" TargetMode="External" /><Relationship Type="http://schemas.openxmlformats.org/officeDocument/2006/relationships/hyperlink" Id="rId45" Target="https://doi.org/10.1177/21582440251336707" TargetMode="External" /><Relationship Type="http://schemas.openxmlformats.org/officeDocument/2006/relationships/hyperlink" Id="rId53" Target="https://doi.org/10.1515/9783486816204" TargetMode="External" /><Relationship Type="http://schemas.openxmlformats.org/officeDocument/2006/relationships/hyperlink" Id="rId43" Target="https://doi.org/10.29408/veles.v8i2.24289" TargetMode="External" /><Relationship Type="http://schemas.openxmlformats.org/officeDocument/2006/relationships/hyperlink" Id="rId49" Target="https://hippasus.com/rrpweblog/archives/2018/01/SAMRTheEdTechQuintetAndSharedPractices_AnIntroduction.pdf" TargetMode="External" /><Relationship Type="http://schemas.openxmlformats.org/officeDocument/2006/relationships/hyperlink" Id="rId27" Target="https://outlook.office.com/book/SprechstundenRichardConrardy@phbern365.onmicrosoft.com/s/Rb677Y7ZYku-QR7Axs21Uw2?ismsaljsauthenabled" TargetMode="External" /><Relationship Type="http://schemas.openxmlformats.org/officeDocument/2006/relationships/hyperlink" Id="rId18" Target="https://ppd-1.pages.dev/01_Wirkung%20Gestaltung%20und%20Einsatz/01_01_Vorbereitung.pdf" TargetMode="External" /><Relationship Type="http://schemas.openxmlformats.org/officeDocument/2006/relationships/hyperlink" Id="rId19" Target="https://ppd-1.pages.dev/01_Wirkung%20Gestaltung%20und%20Einsatz/02_04_slides.html" TargetMode="External" /><Relationship Type="http://schemas.openxmlformats.org/officeDocument/2006/relationships/hyperlink" Id="rId20" Target="https://ppd-1.pages.dev/01_Wirkung%20Gestaltung%20und%20Einsatz/02_04_slides.pdf" TargetMode="External" /><Relationship Type="http://schemas.openxmlformats.org/officeDocument/2006/relationships/hyperlink" Id="rId21" Target="https://ppd-1.pages.dev/01_Wirkung%20Gestaltung%20und%20Einsatz/03_05_Pr%C3%A4senzalternativauftrag.pdf" TargetMode="External" /><Relationship Type="http://schemas.openxmlformats.org/officeDocument/2006/relationships/hyperlink" Id="rId22" Target="https://ppd-1.pages.dev/03_Lernen%20begleiten/03_01_Vorbereitung.pdf" TargetMode="External" /><Relationship Type="http://schemas.openxmlformats.org/officeDocument/2006/relationships/hyperlink" Id="rId25" Target="https://ppd-1.pages.dev/03_Lernen%20begleiten/03_05_Pr%C3%A4senzalternativauftrag.pdf" TargetMode="External" /><Relationship Type="http://schemas.openxmlformats.org/officeDocument/2006/relationships/hyperlink" Id="rId23" Target="https://ppd-1.pages.dev/03_Lernen%20begleiten/03_slides.html" TargetMode="External" /><Relationship Type="http://schemas.openxmlformats.org/officeDocument/2006/relationships/hyperlink" Id="rId24" Target="https://ppd-1.pages.dev/03_Lernen%20begleiten/03_slides.pdf" TargetMode="External" /><Relationship Type="http://schemas.openxmlformats.org/officeDocument/2006/relationships/hyperlink" Id="rId37" Target="https://www.bhertz.nl/wp-content/uploads/2011/07/atkinson_mayer_powerpoint_4_23_04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https://doi.org/10.1002/acp.3482" TargetMode="External" /><Relationship Type="http://schemas.openxmlformats.org/officeDocument/2006/relationships/hyperlink" Id="rId51" Target="https://doi.org/10.1007/s10648-019-09498-w" TargetMode="External" /><Relationship Type="http://schemas.openxmlformats.org/officeDocument/2006/relationships/hyperlink" Id="rId35" Target="https://doi.org/10.1016/j.compedu.2022.104648" TargetMode="External" /><Relationship Type="http://schemas.openxmlformats.org/officeDocument/2006/relationships/hyperlink" Id="rId41" Target="https://doi.org/10.1016/j.ijme.2023.100822" TargetMode="External" /><Relationship Type="http://schemas.openxmlformats.org/officeDocument/2006/relationships/hyperlink" Id="rId39" Target="https://doi.org/10.1080/00461520.2014.965823" TargetMode="External" /><Relationship Type="http://schemas.openxmlformats.org/officeDocument/2006/relationships/hyperlink" Id="rId45" Target="https://doi.org/10.1177/21582440251336707" TargetMode="External" /><Relationship Type="http://schemas.openxmlformats.org/officeDocument/2006/relationships/hyperlink" Id="rId53" Target="https://doi.org/10.1515/9783486816204" TargetMode="External" /><Relationship Type="http://schemas.openxmlformats.org/officeDocument/2006/relationships/hyperlink" Id="rId43" Target="https://doi.org/10.29408/veles.v8i2.24289" TargetMode="External" /><Relationship Type="http://schemas.openxmlformats.org/officeDocument/2006/relationships/hyperlink" Id="rId49" Target="https://hippasus.com/rrpweblog/archives/2018/01/SAMRTheEdTechQuintetAndSharedPractices_AnIntroduction.pdf" TargetMode="External" /><Relationship Type="http://schemas.openxmlformats.org/officeDocument/2006/relationships/hyperlink" Id="rId27" Target="https://outlook.office.com/book/SprechstundenRichardConrardy@phbern365.onmicrosoft.com/s/Rb677Y7ZYku-QR7Axs21Uw2?ismsaljsauthenabled" TargetMode="External" /><Relationship Type="http://schemas.openxmlformats.org/officeDocument/2006/relationships/hyperlink" Id="rId18" Target="https://ppd-1.pages.dev/01_Wirkung%20Gestaltung%20und%20Einsatz/01_01_Vorbereitung.pdf" TargetMode="External" /><Relationship Type="http://schemas.openxmlformats.org/officeDocument/2006/relationships/hyperlink" Id="rId19" Target="https://ppd-1.pages.dev/01_Wirkung%20Gestaltung%20und%20Einsatz/02_04_slides.html" TargetMode="External" /><Relationship Type="http://schemas.openxmlformats.org/officeDocument/2006/relationships/hyperlink" Id="rId20" Target="https://ppd-1.pages.dev/01_Wirkung%20Gestaltung%20und%20Einsatz/02_04_slides.pdf" TargetMode="External" /><Relationship Type="http://schemas.openxmlformats.org/officeDocument/2006/relationships/hyperlink" Id="rId21" Target="https://ppd-1.pages.dev/01_Wirkung%20Gestaltung%20und%20Einsatz/03_05_Pr%C3%A4senzalternativauftrag.pdf" TargetMode="External" /><Relationship Type="http://schemas.openxmlformats.org/officeDocument/2006/relationships/hyperlink" Id="rId22" Target="https://ppd-1.pages.dev/03_Lernen%20begleiten/03_01_Vorbereitung.pdf" TargetMode="External" /><Relationship Type="http://schemas.openxmlformats.org/officeDocument/2006/relationships/hyperlink" Id="rId25" Target="https://ppd-1.pages.dev/03_Lernen%20begleiten/03_05_Pr%C3%A4senzalternativauftrag.pdf" TargetMode="External" /><Relationship Type="http://schemas.openxmlformats.org/officeDocument/2006/relationships/hyperlink" Id="rId23" Target="https://ppd-1.pages.dev/03_Lernen%20begleiten/03_slides.html" TargetMode="External" /><Relationship Type="http://schemas.openxmlformats.org/officeDocument/2006/relationships/hyperlink" Id="rId24" Target="https://ppd-1.pages.dev/03_Lernen%20begleiten/03_slides.pdf" TargetMode="External" /><Relationship Type="http://schemas.openxmlformats.org/officeDocument/2006/relationships/hyperlink" Id="rId37" Target="https://www.bhertz.nl/wp-content/uploads/2011/07/atkinson_mayer_powerpoint_4_23_04.pdf" TargetMode="Externa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Semesteraufbau - Digitalität</dc:title>
  <dc:creator>Team Digitalität</dc:creator>
  <dc:language>de-CH</dc:language>
  <cp:keywords/>
  <dcterms:created xsi:type="dcterms:W3CDTF">2026-10-21T16:55:26Z</dcterms:created>
  <dcterms:modified xsi:type="dcterms:W3CDTF">2026-10-21T16:55:26Z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institut">
    <vt:lpwstr>Sekundarstufe II</vt:lpwstr>
  </property>
  <property fmtid="{D5CDD505-2E9C-101B-9397-08002B2CF9AE}" pid="10" name="labels">
    <vt:lpwstr/>
  </property>
  <property fmtid="{D5CDD505-2E9C-101B-9397-08002B2CF9AE}" pid="11" name="nocite">
    <vt:lpwstr>@antonietti2023, @atkinson2004, @dalalah2023, @dewi2024, @liu2025, @mayer2019, @puentedura2009, @sailer2020, @schulmeister2005a, @zierer2023</vt:lpwstr>
  </property>
  <property fmtid="{D5CDD505-2E9C-101B-9397-08002B2CF9AE}" pid="12" name="reference-section-title">
    <vt:lpwstr>Vertiefungslektüre (Empfehlung)</vt:lpwstr>
  </property>
  <property fmtid="{D5CDD505-2E9C-101B-9397-08002B2CF9AE}" pid="13" name="revealjs-plugins">
    <vt:lpwstr/>
  </property>
  <property fmtid="{D5CDD505-2E9C-101B-9397-08002B2CF9AE}" pid="14" name="subtitle">
    <vt:lpwstr>Pädagogik, Psychologie, Digitalität 1</vt:lpwstr>
  </property>
  <property fmtid="{D5CDD505-2E9C-101B-9397-08002B2CF9AE}" pid="15" name="toc-title">
    <vt:lpwstr>Inhaltsverzeichnis</vt:lpwstr>
  </property>
</Properties>
</file>